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6CAE6" w14:textId="26A6348C" w:rsidR="00C50CEB" w:rsidRPr="00AE4FAE" w:rsidRDefault="00C50CEB" w:rsidP="00C50CEB">
      <w:pPr>
        <w:widowControl w:val="0"/>
        <w:tabs>
          <w:tab w:val="left" w:pos="2100"/>
        </w:tabs>
        <w:autoSpaceDE w:val="0"/>
        <w:autoSpaceDN w:val="0"/>
        <w:adjustRightInd w:val="0"/>
        <w:spacing w:line="240" w:lineRule="auto"/>
        <w:jc w:val="center"/>
        <w:rPr>
          <w:rFonts w:ascii="Arial" w:eastAsia="Times New Roman" w:hAnsi="Arial" w:cs="Arial"/>
          <w:b/>
          <w:i/>
          <w:szCs w:val="20"/>
          <w:lang w:eastAsia="fr-FR"/>
        </w:rPr>
      </w:pPr>
      <w:r w:rsidRPr="00AE4FAE">
        <w:rPr>
          <w:rFonts w:ascii="Arial" w:eastAsia="Times New Roman" w:hAnsi="Arial" w:cs="Arial"/>
          <w:b/>
          <w:i/>
          <w:szCs w:val="20"/>
          <w:lang w:eastAsia="fr-FR"/>
        </w:rPr>
        <w:t xml:space="preserve">Annexe </w:t>
      </w:r>
      <w:r>
        <w:rPr>
          <w:rFonts w:ascii="Arial" w:eastAsia="Times New Roman" w:hAnsi="Arial" w:cs="Arial"/>
          <w:b/>
          <w:i/>
          <w:szCs w:val="20"/>
          <w:lang w:eastAsia="fr-FR"/>
        </w:rPr>
        <w:t xml:space="preserve">n°2 </w:t>
      </w:r>
      <w:r w:rsidRPr="00AE4FAE">
        <w:rPr>
          <w:rFonts w:ascii="Arial" w:eastAsia="Times New Roman" w:hAnsi="Arial" w:cs="Arial"/>
          <w:b/>
          <w:i/>
          <w:szCs w:val="20"/>
          <w:lang w:eastAsia="fr-FR"/>
        </w:rPr>
        <w:t>encadrant les traitements de données à caractère personnel</w:t>
      </w:r>
      <w:r>
        <w:rPr>
          <w:rFonts w:ascii="Arial" w:eastAsia="Times New Roman" w:hAnsi="Arial" w:cs="Arial"/>
          <w:b/>
          <w:i/>
          <w:szCs w:val="20"/>
          <w:lang w:eastAsia="fr-FR"/>
        </w:rPr>
        <w:t xml:space="preserve"> </w:t>
      </w:r>
      <w:r w:rsidRPr="007A2558">
        <w:rPr>
          <w:rFonts w:ascii="Arial" w:eastAsia="Times New Roman" w:hAnsi="Arial" w:cs="Arial"/>
          <w:b/>
          <w:i/>
          <w:szCs w:val="20"/>
          <w:lang w:eastAsia="fr-FR"/>
        </w:rPr>
        <w:t xml:space="preserve">(version du </w:t>
      </w:r>
      <w:r w:rsidR="00694C43">
        <w:rPr>
          <w:rFonts w:ascii="Arial" w:eastAsia="Times New Roman" w:hAnsi="Arial" w:cs="Arial"/>
          <w:b/>
          <w:i/>
          <w:szCs w:val="20"/>
          <w:lang w:eastAsia="fr-FR"/>
        </w:rPr>
        <w:t>13</w:t>
      </w:r>
      <w:r w:rsidRPr="007A2558">
        <w:rPr>
          <w:rFonts w:ascii="Arial" w:eastAsia="Times New Roman" w:hAnsi="Arial" w:cs="Arial"/>
          <w:b/>
          <w:i/>
          <w:szCs w:val="20"/>
          <w:lang w:eastAsia="fr-FR"/>
        </w:rPr>
        <w:t>/</w:t>
      </w:r>
      <w:r w:rsidR="00694C43">
        <w:rPr>
          <w:rFonts w:ascii="Arial" w:eastAsia="Times New Roman" w:hAnsi="Arial" w:cs="Arial"/>
          <w:b/>
          <w:i/>
          <w:szCs w:val="20"/>
          <w:lang w:eastAsia="fr-FR"/>
        </w:rPr>
        <w:t>05</w:t>
      </w:r>
      <w:r w:rsidRPr="007A2558">
        <w:rPr>
          <w:rFonts w:ascii="Arial" w:eastAsia="Times New Roman" w:hAnsi="Arial" w:cs="Arial"/>
          <w:b/>
          <w:i/>
          <w:szCs w:val="20"/>
          <w:lang w:eastAsia="fr-FR"/>
        </w:rPr>
        <w:t>/2</w:t>
      </w:r>
      <w:r w:rsidR="00694C43">
        <w:rPr>
          <w:rFonts w:ascii="Arial" w:eastAsia="Times New Roman" w:hAnsi="Arial" w:cs="Arial"/>
          <w:b/>
          <w:i/>
          <w:szCs w:val="20"/>
          <w:lang w:eastAsia="fr-FR"/>
        </w:rPr>
        <w:t>5</w:t>
      </w:r>
      <w:r w:rsidRPr="007A2558">
        <w:rPr>
          <w:rFonts w:ascii="Arial" w:eastAsia="Times New Roman" w:hAnsi="Arial" w:cs="Arial"/>
          <w:b/>
          <w:i/>
          <w:szCs w:val="20"/>
          <w:lang w:eastAsia="fr-FR"/>
        </w:rPr>
        <w:t>)</w:t>
      </w:r>
    </w:p>
    <w:p w14:paraId="5D72B078"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 Objet</w:t>
      </w:r>
    </w:p>
    <w:p w14:paraId="13E8E069"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Les présentes clauses ont pour objet de définir les conditions dans lesquelles le Titulaire effectue pour le compte du CEA les opérations de traitement de données à caractère personnel définies ci-après.</w:t>
      </w:r>
    </w:p>
    <w:p w14:paraId="67F5D670"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Dans le cadre de leurs relations contractuelles, les parties s’engagent à respecter la réglementation en vigueur applicable au traitement de données à caractère personnel et, en particulier : </w:t>
      </w:r>
    </w:p>
    <w:p w14:paraId="5D306CAA" w14:textId="77777777" w:rsidR="00AE4FAE" w:rsidRPr="00AE4FAE" w:rsidRDefault="00AE4FAE" w:rsidP="00101B6A">
      <w:pPr>
        <w:spacing w:line="240" w:lineRule="auto"/>
        <w:rPr>
          <w:rFonts w:ascii="Arial" w:eastAsia="Times New Roman" w:hAnsi="Arial" w:cs="Arial"/>
          <w:i/>
          <w:szCs w:val="20"/>
          <w:lang w:eastAsia="fr-FR"/>
        </w:rPr>
      </w:pPr>
    </w:p>
    <w:p w14:paraId="25C597C4" w14:textId="77777777" w:rsidR="00AE4FAE" w:rsidRPr="00AE4FAE" w:rsidRDefault="00AE4FAE" w:rsidP="00101B6A">
      <w:pPr>
        <w:pStyle w:val="Paragraphedeliste"/>
        <w:numPr>
          <w:ilvl w:val="0"/>
          <w:numId w:val="5"/>
        </w:num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Le règlement (UE) 2016/679 du Parlement européen et du Conseil du 27 avril 2016 applicable à compter du 25 mai 2018 (ci-après, « </w:t>
      </w:r>
      <w:r w:rsidRPr="00AE4FAE">
        <w:rPr>
          <w:rFonts w:ascii="Arial" w:eastAsia="Times New Roman" w:hAnsi="Arial" w:cs="Arial"/>
          <w:b/>
          <w:bCs/>
          <w:i/>
          <w:iCs/>
          <w:szCs w:val="20"/>
          <w:lang w:eastAsia="fr-FR"/>
        </w:rPr>
        <w:t>le règlement européen sur la protection des données </w:t>
      </w:r>
      <w:r w:rsidRPr="00AE4FAE">
        <w:rPr>
          <w:rFonts w:ascii="Arial" w:eastAsia="Times New Roman" w:hAnsi="Arial" w:cs="Arial"/>
          <w:i/>
          <w:szCs w:val="20"/>
          <w:lang w:eastAsia="fr-FR"/>
        </w:rPr>
        <w:t>»).</w:t>
      </w:r>
    </w:p>
    <w:p w14:paraId="285C0429" w14:textId="77777777" w:rsidR="00AE4FAE" w:rsidRPr="00AE4FAE" w:rsidRDefault="00AE4FAE" w:rsidP="00101B6A">
      <w:pPr>
        <w:pStyle w:val="Paragraphedeliste"/>
        <w:numPr>
          <w:ilvl w:val="0"/>
          <w:numId w:val="5"/>
        </w:num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La décision d’exécution (UE) 2021/915 de la Commission européenne en date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w:t>
      </w:r>
    </w:p>
    <w:p w14:paraId="6D185715"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II. Description du traitement faisant l’objet du transfert des données à caractère personnel</w:t>
      </w:r>
    </w:p>
    <w:p w14:paraId="59D1B7B0" w14:textId="77777777" w:rsid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AE4FAE" w:rsidRPr="00AE4FAE" w14:paraId="3D6398EA" w14:textId="77777777" w:rsidTr="008A62BD">
        <w:tc>
          <w:tcPr>
            <w:tcW w:w="5000" w:type="pct"/>
          </w:tcPr>
          <w:p w14:paraId="5D80CCE7"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Description des opérations réalisées sur les données</w:t>
            </w:r>
            <w:r w:rsidRPr="00AE4FAE">
              <w:rPr>
                <w:rStyle w:val="Appelnotedebasdep"/>
                <w:rFonts w:ascii="Arial" w:eastAsia="Times New Roman" w:hAnsi="Arial" w:cs="Arial"/>
                <w:i/>
                <w:szCs w:val="20"/>
                <w:lang w:eastAsia="fr-FR"/>
              </w:rPr>
              <w:footnoteReference w:id="1"/>
            </w:r>
            <w:r w:rsidRPr="00AE4FAE">
              <w:rPr>
                <w:rFonts w:ascii="Arial" w:eastAsia="Times New Roman" w:hAnsi="Arial" w:cs="Arial"/>
                <w:i/>
                <w:szCs w:val="20"/>
                <w:lang w:eastAsia="fr-FR"/>
              </w:rPr>
              <w:t> :</w:t>
            </w:r>
          </w:p>
          <w:p w14:paraId="1E99FA0E" w14:textId="42BC475C" w:rsidR="00AE4FAE" w:rsidRDefault="00A928A0" w:rsidP="003B0BAC">
            <w:pPr>
              <w:pStyle w:val="Paragraphedeliste"/>
              <w:numPr>
                <w:ilvl w:val="0"/>
                <w:numId w:val="14"/>
              </w:numPr>
              <w:spacing w:after="165"/>
              <w:rPr>
                <w:rFonts w:ascii="Arial" w:eastAsia="Times New Roman" w:hAnsi="Arial" w:cs="Arial"/>
                <w:b/>
                <w:i/>
                <w:color w:val="7030A0"/>
                <w:szCs w:val="20"/>
                <w:lang w:eastAsia="fr-FR"/>
              </w:rPr>
            </w:pPr>
            <w:r w:rsidRPr="003B0BAC">
              <w:rPr>
                <w:rFonts w:ascii="Arial" w:eastAsia="Times New Roman" w:hAnsi="Arial" w:cs="Arial"/>
                <w:b/>
                <w:i/>
                <w:color w:val="7030A0"/>
                <w:szCs w:val="20"/>
                <w:lang w:eastAsia="fr-FR"/>
              </w:rPr>
              <w:t>Utilisation des données des salariés via l’application nationale HYGIEKOS dans le cadre des convocations médicales du Service de Santé au Travail</w:t>
            </w:r>
          </w:p>
          <w:p w14:paraId="186EC04D" w14:textId="7A24808A" w:rsidR="003B0BAC" w:rsidRPr="007A2558" w:rsidRDefault="003B0BAC" w:rsidP="003B0BAC">
            <w:pPr>
              <w:pStyle w:val="Paragraphedeliste"/>
              <w:numPr>
                <w:ilvl w:val="0"/>
                <w:numId w:val="14"/>
              </w:numPr>
              <w:spacing w:after="165"/>
              <w:rPr>
                <w:rFonts w:ascii="Arial" w:eastAsia="Times New Roman" w:hAnsi="Arial" w:cs="Arial"/>
                <w:b/>
                <w:i/>
                <w:color w:val="7030A0"/>
                <w:szCs w:val="20"/>
                <w:lang w:eastAsia="fr-FR"/>
              </w:rPr>
            </w:pPr>
            <w:r w:rsidRPr="007A2558">
              <w:rPr>
                <w:rFonts w:ascii="Arial" w:eastAsia="Times New Roman" w:hAnsi="Arial" w:cs="Arial"/>
                <w:b/>
                <w:i/>
                <w:color w:val="7030A0"/>
                <w:szCs w:val="20"/>
                <w:lang w:eastAsia="fr-FR"/>
              </w:rPr>
              <w:t>Tri des résultats d’analyses et dispatching aux médecins</w:t>
            </w:r>
          </w:p>
          <w:p w14:paraId="65643860" w14:textId="07EA301F" w:rsidR="003B0BAC" w:rsidRPr="007A2558" w:rsidRDefault="003B0BAC" w:rsidP="003B0BAC">
            <w:pPr>
              <w:pStyle w:val="Paragraphedeliste"/>
              <w:numPr>
                <w:ilvl w:val="0"/>
                <w:numId w:val="14"/>
              </w:numPr>
              <w:spacing w:after="165"/>
              <w:rPr>
                <w:rFonts w:ascii="Arial" w:eastAsia="Times New Roman" w:hAnsi="Arial" w:cs="Arial"/>
                <w:b/>
                <w:i/>
                <w:color w:val="7030A0"/>
                <w:szCs w:val="20"/>
                <w:lang w:eastAsia="fr-FR"/>
              </w:rPr>
            </w:pPr>
            <w:r w:rsidRPr="007A2558">
              <w:rPr>
                <w:rFonts w:ascii="Arial" w:eastAsia="Times New Roman" w:hAnsi="Arial" w:cs="Arial"/>
                <w:b/>
                <w:i/>
                <w:color w:val="7030A0"/>
                <w:szCs w:val="20"/>
                <w:lang w:eastAsia="fr-FR"/>
              </w:rPr>
              <w:t>Gestion des dossiers pour les visites médicales</w:t>
            </w:r>
          </w:p>
          <w:p w14:paraId="31419E53" w14:textId="3E44CF42" w:rsidR="003B0BAC" w:rsidRPr="003B0BAC" w:rsidRDefault="003B0BAC" w:rsidP="003B0BAC">
            <w:pPr>
              <w:pStyle w:val="Paragraphedeliste"/>
              <w:numPr>
                <w:ilvl w:val="0"/>
                <w:numId w:val="14"/>
              </w:numPr>
              <w:spacing w:after="165"/>
              <w:rPr>
                <w:rFonts w:ascii="Arial" w:eastAsia="Times New Roman" w:hAnsi="Arial" w:cs="Arial"/>
                <w:i/>
                <w:szCs w:val="20"/>
                <w:lang w:eastAsia="fr-FR"/>
              </w:rPr>
            </w:pPr>
            <w:r w:rsidRPr="007A2558">
              <w:rPr>
                <w:rFonts w:ascii="Arial" w:eastAsia="Times New Roman" w:hAnsi="Arial" w:cs="Arial"/>
                <w:b/>
                <w:i/>
                <w:color w:val="7030A0"/>
                <w:szCs w:val="20"/>
                <w:lang w:eastAsia="fr-FR"/>
              </w:rPr>
              <w:t>Rédaction de courrier à vocation médicale à la demande des médecins</w:t>
            </w:r>
          </w:p>
        </w:tc>
      </w:tr>
      <w:tr w:rsidR="00AE4FAE" w:rsidRPr="00AE4FAE" w14:paraId="39D2DAFB" w14:textId="77777777" w:rsidTr="008A62BD">
        <w:tc>
          <w:tcPr>
            <w:tcW w:w="5000" w:type="pct"/>
          </w:tcPr>
          <w:p w14:paraId="30EE1CC7" w14:textId="177080F2" w:rsidR="00AE4FAE" w:rsidRPr="00AE4FAE" w:rsidRDefault="00AE4FAE" w:rsidP="00C50CEB">
            <w:pPr>
              <w:spacing w:after="165"/>
              <w:rPr>
                <w:rFonts w:ascii="Arial" w:eastAsia="Times New Roman" w:hAnsi="Arial" w:cs="Arial"/>
                <w:i/>
                <w:szCs w:val="20"/>
                <w:lang w:eastAsia="fr-FR"/>
              </w:rPr>
            </w:pPr>
            <w:r w:rsidRPr="00AE4FAE">
              <w:rPr>
                <w:rFonts w:ascii="Arial" w:eastAsia="Times New Roman" w:hAnsi="Arial" w:cs="Arial"/>
                <w:i/>
                <w:szCs w:val="20"/>
                <w:lang w:eastAsia="fr-FR"/>
              </w:rPr>
              <w:t>Finalité(s) du traitement</w:t>
            </w:r>
            <w:r w:rsidRPr="00AE4FAE">
              <w:rPr>
                <w:rStyle w:val="Appelnotedebasdep"/>
                <w:rFonts w:ascii="Arial" w:eastAsia="Times New Roman" w:hAnsi="Arial" w:cs="Arial"/>
                <w:i/>
                <w:szCs w:val="20"/>
                <w:lang w:eastAsia="fr-FR"/>
              </w:rPr>
              <w:footnoteReference w:id="2"/>
            </w:r>
            <w:r w:rsidRPr="00AE4FAE">
              <w:rPr>
                <w:rFonts w:ascii="Arial" w:eastAsia="Times New Roman" w:hAnsi="Arial" w:cs="Arial"/>
                <w:i/>
                <w:szCs w:val="20"/>
                <w:lang w:eastAsia="fr-FR"/>
              </w:rPr>
              <w:t> :</w:t>
            </w:r>
            <w:r w:rsidR="00C50CEB">
              <w:rPr>
                <w:rFonts w:ascii="Arial" w:eastAsia="Times New Roman" w:hAnsi="Arial" w:cs="Arial"/>
                <w:i/>
                <w:szCs w:val="20"/>
                <w:lang w:eastAsia="fr-FR"/>
              </w:rPr>
              <w:t xml:space="preserve"> </w:t>
            </w:r>
            <w:r w:rsidR="00A928A0">
              <w:rPr>
                <w:rFonts w:ascii="Arial" w:eastAsia="Times New Roman" w:hAnsi="Arial" w:cs="Arial"/>
                <w:b/>
                <w:i/>
                <w:color w:val="7030A0"/>
                <w:szCs w:val="20"/>
                <w:lang w:eastAsia="fr-FR"/>
              </w:rPr>
              <w:t>Gestion des convocations médicales</w:t>
            </w:r>
            <w:r w:rsidR="003B0BAC">
              <w:rPr>
                <w:rFonts w:ascii="Arial" w:eastAsia="Times New Roman" w:hAnsi="Arial" w:cs="Arial"/>
                <w:b/>
                <w:i/>
                <w:color w:val="7030A0"/>
                <w:szCs w:val="20"/>
                <w:lang w:eastAsia="fr-FR"/>
              </w:rPr>
              <w:t xml:space="preserve"> </w:t>
            </w:r>
            <w:r w:rsidR="003B0BAC" w:rsidRPr="007A2558">
              <w:rPr>
                <w:rFonts w:ascii="Arial" w:eastAsia="Times New Roman" w:hAnsi="Arial" w:cs="Arial"/>
                <w:b/>
                <w:i/>
                <w:color w:val="7030A0"/>
                <w:szCs w:val="20"/>
                <w:lang w:eastAsia="fr-FR"/>
              </w:rPr>
              <w:t>et dossiers médicaux des salariés</w:t>
            </w:r>
          </w:p>
        </w:tc>
      </w:tr>
      <w:tr w:rsidR="00AE4FAE" w:rsidRPr="00AE4FAE" w14:paraId="697FEBF8" w14:textId="77777777" w:rsidTr="008A62BD">
        <w:tc>
          <w:tcPr>
            <w:tcW w:w="5000" w:type="pct"/>
          </w:tcPr>
          <w:p w14:paraId="69279D1B"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Type de données à caractère personnel traitées</w:t>
            </w:r>
            <w:r w:rsidRPr="00AE4FAE">
              <w:rPr>
                <w:rStyle w:val="Appelnotedebasdep"/>
                <w:rFonts w:ascii="Arial" w:eastAsia="Times New Roman" w:hAnsi="Arial" w:cs="Arial"/>
                <w:i/>
                <w:szCs w:val="20"/>
                <w:lang w:eastAsia="fr-FR"/>
              </w:rPr>
              <w:footnoteReference w:id="3"/>
            </w:r>
            <w:r w:rsidRPr="00AE4FAE">
              <w:rPr>
                <w:rFonts w:ascii="Arial" w:eastAsia="Times New Roman" w:hAnsi="Arial" w:cs="Arial"/>
                <w:i/>
                <w:szCs w:val="20"/>
                <w:lang w:eastAsia="fr-FR"/>
              </w:rPr>
              <w:t> :</w:t>
            </w:r>
          </w:p>
          <w:p w14:paraId="2FC3116A" w14:textId="481508D9" w:rsidR="00AE4FAE" w:rsidRPr="00AE4FAE" w:rsidRDefault="00A928A0" w:rsidP="00101B6A">
            <w:pPr>
              <w:spacing w:after="165"/>
              <w:rPr>
                <w:rFonts w:ascii="Arial" w:eastAsia="Times New Roman" w:hAnsi="Arial" w:cs="Arial"/>
                <w:i/>
                <w:szCs w:val="20"/>
                <w:lang w:eastAsia="fr-FR"/>
              </w:rPr>
            </w:pPr>
            <w:r>
              <w:rPr>
                <w:rFonts w:ascii="Arial" w:eastAsia="Times New Roman" w:hAnsi="Arial" w:cs="Arial"/>
                <w:b/>
                <w:i/>
                <w:color w:val="7030A0"/>
                <w:szCs w:val="20"/>
                <w:lang w:eastAsia="fr-FR"/>
              </w:rPr>
              <w:t>Données administratives d</w:t>
            </w:r>
            <w:r w:rsidR="003B0BAC">
              <w:rPr>
                <w:rFonts w:ascii="Arial" w:eastAsia="Times New Roman" w:hAnsi="Arial" w:cs="Arial"/>
                <w:b/>
                <w:i/>
                <w:color w:val="7030A0"/>
                <w:szCs w:val="20"/>
                <w:lang w:eastAsia="fr-FR"/>
              </w:rPr>
              <w:t>es</w:t>
            </w:r>
            <w:r>
              <w:rPr>
                <w:rFonts w:ascii="Arial" w:eastAsia="Times New Roman" w:hAnsi="Arial" w:cs="Arial"/>
                <w:b/>
                <w:i/>
                <w:color w:val="7030A0"/>
                <w:szCs w:val="20"/>
                <w:lang w:eastAsia="fr-FR"/>
              </w:rPr>
              <w:t xml:space="preserve"> salariés (Nom, Prénom, date de naissance, téléphone, adresse mail)</w:t>
            </w:r>
            <w:r w:rsidR="003B0BAC">
              <w:rPr>
                <w:rFonts w:ascii="Arial" w:eastAsia="Times New Roman" w:hAnsi="Arial" w:cs="Arial"/>
                <w:b/>
                <w:i/>
                <w:color w:val="7030A0"/>
                <w:szCs w:val="20"/>
                <w:lang w:eastAsia="fr-FR"/>
              </w:rPr>
              <w:t xml:space="preserve"> </w:t>
            </w:r>
            <w:r w:rsidR="003B0BAC" w:rsidRPr="007A2558">
              <w:rPr>
                <w:rFonts w:ascii="Arial" w:eastAsia="Times New Roman" w:hAnsi="Arial" w:cs="Arial"/>
                <w:b/>
                <w:i/>
                <w:color w:val="7030A0"/>
                <w:szCs w:val="20"/>
                <w:lang w:eastAsia="fr-FR"/>
              </w:rPr>
              <w:t>et données de santé</w:t>
            </w:r>
            <w:r w:rsidR="003B0BAC">
              <w:rPr>
                <w:rFonts w:ascii="Arial" w:eastAsia="Times New Roman" w:hAnsi="Arial" w:cs="Arial"/>
                <w:b/>
                <w:i/>
                <w:color w:val="7030A0"/>
                <w:szCs w:val="20"/>
                <w:lang w:eastAsia="fr-FR"/>
              </w:rPr>
              <w:t>.</w:t>
            </w:r>
          </w:p>
        </w:tc>
      </w:tr>
      <w:tr w:rsidR="00AE4FAE" w:rsidRPr="00AE4FAE" w14:paraId="47C4496F" w14:textId="77777777" w:rsidTr="008A62BD">
        <w:tc>
          <w:tcPr>
            <w:tcW w:w="5000" w:type="pct"/>
          </w:tcPr>
          <w:p w14:paraId="6B8C687A"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Catégories de personnes concernées</w:t>
            </w:r>
            <w:r w:rsidRPr="00AE4FAE">
              <w:rPr>
                <w:rStyle w:val="Appelnotedebasdep"/>
                <w:rFonts w:ascii="Arial" w:eastAsia="Times New Roman" w:hAnsi="Arial" w:cs="Arial"/>
                <w:i/>
                <w:szCs w:val="20"/>
                <w:lang w:eastAsia="fr-FR"/>
              </w:rPr>
              <w:footnoteReference w:id="4"/>
            </w:r>
            <w:r w:rsidRPr="00AE4FAE">
              <w:rPr>
                <w:rFonts w:ascii="Arial" w:eastAsia="Times New Roman" w:hAnsi="Arial" w:cs="Arial"/>
                <w:i/>
                <w:szCs w:val="20"/>
                <w:lang w:eastAsia="fr-FR"/>
              </w:rPr>
              <w:t> :</w:t>
            </w:r>
          </w:p>
          <w:p w14:paraId="0490F2EE" w14:textId="77777777" w:rsidR="00AE4FAE" w:rsidRPr="00AE4FAE" w:rsidRDefault="00714589" w:rsidP="00714589">
            <w:pPr>
              <w:spacing w:after="165"/>
              <w:rPr>
                <w:rFonts w:ascii="Arial" w:eastAsia="Times New Roman" w:hAnsi="Arial" w:cs="Arial"/>
                <w:i/>
                <w:szCs w:val="20"/>
                <w:lang w:eastAsia="fr-FR"/>
              </w:rPr>
            </w:pPr>
            <w:r>
              <w:rPr>
                <w:rFonts w:ascii="Arial" w:eastAsia="Times New Roman" w:hAnsi="Arial" w:cs="Arial"/>
                <w:b/>
                <w:i/>
                <w:color w:val="7030A0"/>
                <w:szCs w:val="20"/>
                <w:lang w:eastAsia="fr-FR"/>
              </w:rPr>
              <w:t>Salariés CEA, Salariés Entreprises Extérieurs, Partenaires, stagiaires, intérimaires, CDD, Candidats à l’embauche.</w:t>
            </w:r>
          </w:p>
        </w:tc>
      </w:tr>
      <w:tr w:rsidR="00AE4FAE" w:rsidRPr="00AE4FAE" w14:paraId="119D7E21" w14:textId="77777777" w:rsidTr="008A62BD">
        <w:tc>
          <w:tcPr>
            <w:tcW w:w="5000" w:type="pct"/>
          </w:tcPr>
          <w:p w14:paraId="50421146" w14:textId="77777777" w:rsidR="00AE4FAE" w:rsidRPr="00AE4FAE" w:rsidRDefault="00AE4FAE" w:rsidP="00C50CEB">
            <w:pPr>
              <w:spacing w:after="165"/>
              <w:rPr>
                <w:rFonts w:ascii="Arial" w:eastAsia="Times New Roman" w:hAnsi="Arial" w:cs="Arial"/>
                <w:i/>
                <w:szCs w:val="20"/>
                <w:lang w:eastAsia="fr-FR"/>
              </w:rPr>
            </w:pPr>
            <w:r w:rsidRPr="00AE4FAE">
              <w:rPr>
                <w:rFonts w:ascii="Arial" w:eastAsia="Times New Roman" w:hAnsi="Arial" w:cs="Arial"/>
                <w:i/>
                <w:szCs w:val="20"/>
                <w:lang w:eastAsia="fr-FR"/>
              </w:rPr>
              <w:t>Autres précisions ou interdictions</w:t>
            </w:r>
            <w:r w:rsidRPr="00AE4FAE">
              <w:rPr>
                <w:rStyle w:val="Appelnotedebasdep"/>
                <w:rFonts w:ascii="Arial" w:eastAsia="Times New Roman" w:hAnsi="Arial" w:cs="Arial"/>
                <w:i/>
                <w:szCs w:val="20"/>
                <w:lang w:eastAsia="fr-FR"/>
              </w:rPr>
              <w:footnoteReference w:id="5"/>
            </w:r>
            <w:r w:rsidRPr="00AE4FAE">
              <w:rPr>
                <w:rFonts w:ascii="Arial" w:eastAsia="Times New Roman" w:hAnsi="Arial" w:cs="Arial"/>
                <w:i/>
                <w:szCs w:val="20"/>
                <w:lang w:eastAsia="fr-FR"/>
              </w:rPr>
              <w:t> :</w:t>
            </w:r>
            <w:r w:rsidR="00C50CEB">
              <w:rPr>
                <w:rFonts w:ascii="Arial" w:eastAsia="Times New Roman" w:hAnsi="Arial" w:cs="Arial"/>
                <w:i/>
                <w:szCs w:val="20"/>
                <w:lang w:eastAsia="fr-FR"/>
              </w:rPr>
              <w:t xml:space="preserve"> </w:t>
            </w:r>
            <w:r w:rsidR="00714589">
              <w:rPr>
                <w:rFonts w:ascii="Arial" w:eastAsia="Times New Roman" w:hAnsi="Arial" w:cs="Arial"/>
                <w:b/>
                <w:i/>
                <w:color w:val="7030A0"/>
                <w:szCs w:val="20"/>
                <w:lang w:eastAsia="fr-FR"/>
              </w:rPr>
              <w:t>Les données ne sont que sur le système d’information CEA</w:t>
            </w:r>
          </w:p>
        </w:tc>
      </w:tr>
    </w:tbl>
    <w:p w14:paraId="61FC6757"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III. Obligations du Titulaire vis-à-vis du CEA</w:t>
      </w:r>
    </w:p>
    <w:p w14:paraId="2B156D04"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s'engage à :</w:t>
      </w:r>
    </w:p>
    <w:p w14:paraId="70040851"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Traiter les données </w:t>
      </w:r>
      <w:r w:rsidRPr="00AE4FAE">
        <w:rPr>
          <w:rFonts w:ascii="Arial" w:eastAsia="Times New Roman" w:hAnsi="Arial" w:cs="Arial"/>
          <w:b/>
          <w:bCs/>
          <w:i/>
          <w:szCs w:val="20"/>
          <w:lang w:eastAsia="fr-FR"/>
        </w:rPr>
        <w:t>uniquement pour la ou les seule(s) finalité(s)</w:t>
      </w:r>
      <w:r w:rsidRPr="00AE4FAE">
        <w:rPr>
          <w:rFonts w:ascii="Arial" w:eastAsia="Times New Roman" w:hAnsi="Arial" w:cs="Arial"/>
          <w:i/>
          <w:szCs w:val="20"/>
          <w:lang w:eastAsia="fr-FR"/>
        </w:rPr>
        <w:t> qui fait/font l’objet de la prestation ;</w:t>
      </w:r>
    </w:p>
    <w:p w14:paraId="65C011C5"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Traiter les données </w:t>
      </w:r>
      <w:r w:rsidRPr="00AE4FAE">
        <w:rPr>
          <w:rFonts w:ascii="Arial" w:eastAsia="Times New Roman" w:hAnsi="Arial" w:cs="Arial"/>
          <w:b/>
          <w:bCs/>
          <w:i/>
          <w:szCs w:val="20"/>
          <w:lang w:eastAsia="fr-FR"/>
        </w:rPr>
        <w:t>conformément aux instructions documentées</w:t>
      </w:r>
      <w:r w:rsidRPr="00AE4FAE">
        <w:rPr>
          <w:rFonts w:ascii="Arial" w:eastAsia="Times New Roman" w:hAnsi="Arial" w:cs="Arial"/>
          <w:i/>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AE4FAE">
        <w:rPr>
          <w:rFonts w:ascii="Arial" w:eastAsia="Times New Roman" w:hAnsi="Arial" w:cs="Arial"/>
          <w:b/>
          <w:bCs/>
          <w:i/>
          <w:szCs w:val="20"/>
          <w:lang w:eastAsia="fr-FR"/>
        </w:rPr>
        <w:t>informe immédiatement </w:t>
      </w:r>
      <w:r w:rsidRPr="00AE4FAE">
        <w:rPr>
          <w:rFonts w:ascii="Arial" w:eastAsia="Times New Roman" w:hAnsi="Arial" w:cs="Arial"/>
          <w:i/>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1476A6A2"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Garantir la confidentialité</w:t>
      </w:r>
      <w:r w:rsidRPr="00AE4FAE">
        <w:rPr>
          <w:rFonts w:ascii="Arial" w:eastAsia="Times New Roman" w:hAnsi="Arial" w:cs="Arial"/>
          <w:i/>
          <w:szCs w:val="20"/>
          <w:lang w:eastAsia="fr-FR"/>
        </w:rPr>
        <w:t> des données à caractère personnel traitées dans le cadre du présent marché ;</w:t>
      </w:r>
    </w:p>
    <w:p w14:paraId="26E35631"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Veiller à ce que les </w:t>
      </w:r>
      <w:r w:rsidRPr="00AE4FAE">
        <w:rPr>
          <w:rFonts w:ascii="Arial" w:eastAsia="Times New Roman" w:hAnsi="Arial" w:cs="Arial"/>
          <w:b/>
          <w:bCs/>
          <w:i/>
          <w:szCs w:val="20"/>
          <w:lang w:eastAsia="fr-FR"/>
        </w:rPr>
        <w:t>personnes autorisées à traiter les données à caractère personnel </w:t>
      </w:r>
      <w:r w:rsidRPr="00AE4FAE">
        <w:rPr>
          <w:rFonts w:ascii="Arial" w:eastAsia="Times New Roman" w:hAnsi="Arial" w:cs="Arial"/>
          <w:i/>
          <w:szCs w:val="20"/>
          <w:lang w:eastAsia="fr-FR"/>
        </w:rPr>
        <w:t>en vertu du présent marché :</w:t>
      </w:r>
    </w:p>
    <w:p w14:paraId="7A6E5842" w14:textId="77777777" w:rsidR="00AE4FAE" w:rsidRPr="00AE4FAE" w:rsidRDefault="00AE4FAE" w:rsidP="00101B6A">
      <w:pPr>
        <w:numPr>
          <w:ilvl w:val="0"/>
          <w:numId w:val="2"/>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S’engagent à respecter la confidentialité ou soient soumises à une obligation légale appropriée de confidentialité,</w:t>
      </w:r>
    </w:p>
    <w:p w14:paraId="763CE099" w14:textId="77777777" w:rsidR="00AE4FAE" w:rsidRPr="00AE4FAE" w:rsidRDefault="00AE4FAE" w:rsidP="00101B6A">
      <w:pPr>
        <w:numPr>
          <w:ilvl w:val="0"/>
          <w:numId w:val="2"/>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Reçoivent la formation nécessaire en matière de protection des données à caractère personnel</w:t>
      </w:r>
    </w:p>
    <w:p w14:paraId="18813AE8" w14:textId="77777777" w:rsidR="00AE4FAE" w:rsidRPr="00AE4FAE" w:rsidRDefault="00AE4FAE" w:rsidP="00101B6A">
      <w:pPr>
        <w:numPr>
          <w:ilvl w:val="0"/>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Prendre en compte, s’agissant de ses outils, produits, applications ou services, les principes de</w:t>
      </w:r>
      <w:r w:rsidRPr="00AE4FAE">
        <w:rPr>
          <w:rFonts w:ascii="Arial" w:eastAsia="Times New Roman" w:hAnsi="Arial" w:cs="Arial"/>
          <w:b/>
          <w:bCs/>
          <w:i/>
          <w:szCs w:val="20"/>
          <w:lang w:eastAsia="fr-FR"/>
        </w:rPr>
        <w:t> protection des données dès la conception</w:t>
      </w:r>
      <w:r w:rsidRPr="00AE4FAE">
        <w:rPr>
          <w:rFonts w:ascii="Arial" w:eastAsia="Times New Roman" w:hAnsi="Arial" w:cs="Arial"/>
          <w:i/>
          <w:szCs w:val="20"/>
          <w:lang w:eastAsia="fr-FR"/>
        </w:rPr>
        <w:t> et de</w:t>
      </w:r>
      <w:r w:rsidRPr="00AE4FAE">
        <w:rPr>
          <w:rFonts w:ascii="Arial" w:eastAsia="Times New Roman" w:hAnsi="Arial" w:cs="Arial"/>
          <w:b/>
          <w:bCs/>
          <w:i/>
          <w:szCs w:val="20"/>
          <w:lang w:eastAsia="fr-FR"/>
        </w:rPr>
        <w:t> protection des données par défaut</w:t>
      </w:r>
    </w:p>
    <w:p w14:paraId="30BD8A5C" w14:textId="77777777" w:rsidR="00AE4FAE" w:rsidRPr="00AE4FAE" w:rsidRDefault="00AE4FAE" w:rsidP="00101B6A">
      <w:pPr>
        <w:numPr>
          <w:ilvl w:val="0"/>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Aider le CEA à garantir le respect des obligations suivantes, compte tenu de la nature du traitement et des informations dont dispose le Titulaire : </w:t>
      </w:r>
    </w:p>
    <w:p w14:paraId="7271A81C"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14:paraId="0D4B3F53"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L’obligation de consulter l'autorité de contrôle compétente/les autorités de contrôle compétentes préalablement au traitement lorsqu'une analyse d'impact relative à la protection des données indique que le traitement présenterait un risque élevé si le CEA ne prenait pas de mesures pour atténuer le risque; </w:t>
      </w:r>
    </w:p>
    <w:p w14:paraId="1AC8FE17"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L’obligation de veiller à ce que les données à caractère personnel soient exactes et à jour, en informant sans délai le CEA si le Titulaire apprend que les données à caractère personnel qu’il traite sont inexactes ou sont devenues obsolètes; </w:t>
      </w:r>
    </w:p>
    <w:p w14:paraId="2BC86EE8"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obligations prévues à l’article 32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w:t>
      </w:r>
    </w:p>
    <w:p w14:paraId="435376C0" w14:textId="77777777" w:rsidR="00AE4FAE" w:rsidRPr="00AE4FAE" w:rsidRDefault="00AE4FAE" w:rsidP="00101B6A">
      <w:pPr>
        <w:numPr>
          <w:ilvl w:val="0"/>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Données sensibles</w:t>
      </w:r>
    </w:p>
    <w:p w14:paraId="73FF6DA0" w14:textId="77777777" w:rsidR="00AE4FAE" w:rsidRDefault="00AE4FAE" w:rsidP="00101B6A">
      <w:pPr>
        <w:spacing w:before="100" w:beforeAutospacing="1" w:after="150" w:line="240" w:lineRule="auto"/>
        <w:rPr>
          <w:rFonts w:ascii="Arial" w:eastAsia="Times New Roman" w:hAnsi="Arial" w:cs="Arial"/>
          <w:bCs/>
          <w:i/>
          <w:szCs w:val="20"/>
          <w:lang w:eastAsia="fr-FR"/>
        </w:rPr>
      </w:pPr>
      <w:r w:rsidRPr="00AE4FAE">
        <w:rPr>
          <w:rFonts w:ascii="Arial" w:eastAsia="Times New Roman" w:hAnsi="Arial" w:cs="Arial"/>
          <w:bCs/>
          <w:i/>
          <w:szCs w:val="20"/>
          <w:lang w:eastAsia="fr-FR"/>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Titulaire applique des limitations spécifiques et/ou des garanties supplémentaires.</w:t>
      </w:r>
    </w:p>
    <w:p w14:paraId="291D9713" w14:textId="77777777" w:rsidR="00AE4FAE" w:rsidRPr="00AE4FAE" w:rsidRDefault="00AE4FAE" w:rsidP="00101B6A">
      <w:pPr>
        <w:pStyle w:val="Paragraphedeliste"/>
        <w:numPr>
          <w:ilvl w:val="0"/>
          <w:numId w:val="3"/>
        </w:numPr>
        <w:spacing w:before="100" w:beforeAutospacing="1" w:after="150" w:line="240" w:lineRule="auto"/>
        <w:rPr>
          <w:rFonts w:ascii="Arial" w:eastAsia="Times New Roman" w:hAnsi="Arial" w:cs="Arial"/>
          <w:b/>
          <w:i/>
          <w:szCs w:val="20"/>
          <w:lang w:eastAsia="fr-FR"/>
        </w:rPr>
      </w:pPr>
      <w:r w:rsidRPr="00AE4FAE">
        <w:rPr>
          <w:rFonts w:ascii="Arial" w:eastAsia="Times New Roman" w:hAnsi="Arial" w:cs="Arial"/>
          <w:b/>
          <w:i/>
          <w:szCs w:val="20"/>
          <w:lang w:eastAsia="fr-FR"/>
        </w:rPr>
        <w:t>Sous-traitance ultérieure</w:t>
      </w:r>
    </w:p>
    <w:p w14:paraId="6F3988CB" w14:textId="77777777" w:rsidR="00C50CEB" w:rsidRPr="00C50CEB" w:rsidRDefault="00C50CEB" w:rsidP="00C50CEB">
      <w:pPr>
        <w:spacing w:before="100" w:beforeAutospacing="1" w:after="150" w:line="240" w:lineRule="auto"/>
        <w:rPr>
          <w:rFonts w:ascii="Arial" w:eastAsia="Times New Roman" w:hAnsi="Arial" w:cs="Arial"/>
          <w:bCs/>
          <w:i/>
          <w:szCs w:val="20"/>
          <w:lang w:eastAsia="fr-FR"/>
        </w:rPr>
      </w:pPr>
      <w:r w:rsidRPr="00C50CEB">
        <w:rPr>
          <w:rFonts w:ascii="Arial" w:eastAsia="Times New Roman" w:hAnsi="Arial" w:cs="Arial"/>
          <w:bCs/>
          <w:i/>
          <w:szCs w:val="20"/>
          <w:lang w:eastAsia="fr-FR"/>
        </w:rPr>
        <w:t>Le Titulaire informe spécifiquement par écrit le CEA de toute sous-traitance dans le cadre du marché au moins 1 mois à l’avance, donnant ainsi au CEA suffisamment de temps pour pouvoir s’opposer au choix des sous-traitants ultérieurs. Le Titulaire fournit au CEA les informations nécessaires pour lui permettre d’exercer son droit d’opposition (nom, adresse, nom/fonction et coordonnées de la personne de contact, description du traitement confié au sous-traitant (y compris une délimitation claire des responsabilités dans le cas où plusieurs sous-traitants ultérieurs sont autorisés).</w:t>
      </w:r>
    </w:p>
    <w:p w14:paraId="0D41CC3C" w14:textId="77777777" w:rsidR="00C50CEB" w:rsidRPr="00C50CEB" w:rsidRDefault="00C50CEB" w:rsidP="00C50CEB">
      <w:pPr>
        <w:spacing w:before="100" w:beforeAutospacing="1" w:after="150" w:line="240" w:lineRule="auto"/>
        <w:rPr>
          <w:rFonts w:ascii="Arial" w:eastAsia="Times New Roman" w:hAnsi="Arial" w:cs="Arial"/>
          <w:bCs/>
          <w:i/>
          <w:szCs w:val="20"/>
          <w:lang w:eastAsia="fr-FR"/>
        </w:rPr>
      </w:pPr>
      <w:r w:rsidRPr="00C50CEB">
        <w:rPr>
          <w:rFonts w:ascii="Arial" w:eastAsia="Times New Roman" w:hAnsi="Arial" w:cs="Arial"/>
          <w:bCs/>
          <w:i/>
          <w:szCs w:val="20"/>
          <w:lang w:eastAsia="fr-FR"/>
        </w:rPr>
        <w:t xml:space="preserve">Lorsque le Titulaire sous-traite pour mener des activités de traitement spécifiques (pour le compte du CEA), il le fait au moyen d’un contrat qui impose au sous-traitant ultérieur, en substance, les mêmes obligations en matière de protection des données que celles imposées au Titulaire en vertu des présentes clauses. Le Titulaire veille à ce que le sous-traitant ultérieur respecte les obligations auxquelles il est lui-même soumis en vertu des présentes clauses et du règlement européen sur la protection des données. </w:t>
      </w:r>
    </w:p>
    <w:p w14:paraId="3044D045" w14:textId="77777777" w:rsidR="00C50CEB" w:rsidRPr="00C50CEB" w:rsidRDefault="00C50CEB" w:rsidP="00C50CEB">
      <w:pPr>
        <w:spacing w:before="100" w:beforeAutospacing="1" w:after="150" w:line="240" w:lineRule="auto"/>
        <w:rPr>
          <w:rFonts w:ascii="Arial" w:eastAsia="Times New Roman" w:hAnsi="Arial" w:cs="Arial"/>
          <w:bCs/>
          <w:i/>
          <w:szCs w:val="20"/>
          <w:lang w:eastAsia="fr-FR"/>
        </w:rPr>
      </w:pPr>
      <w:r w:rsidRPr="00C50CEB">
        <w:rPr>
          <w:rFonts w:ascii="Arial" w:eastAsia="Times New Roman" w:hAnsi="Arial" w:cs="Arial"/>
          <w:bCs/>
          <w:i/>
          <w:szCs w:val="20"/>
          <w:lang w:eastAsia="fr-FR"/>
        </w:rPr>
        <w:t xml:space="preserve">À la demande du CEA, le Titulaire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Titulaire peut expurger le texte du contrat avant d’en diffuser une copie. </w:t>
      </w:r>
    </w:p>
    <w:p w14:paraId="5AF6C2ED" w14:textId="77777777" w:rsidR="00C50CEB" w:rsidRPr="00C50CEB" w:rsidRDefault="00C50CEB" w:rsidP="00C50CEB">
      <w:pPr>
        <w:spacing w:before="100" w:beforeAutospacing="1" w:after="150" w:line="240" w:lineRule="auto"/>
        <w:rPr>
          <w:rFonts w:ascii="Arial" w:eastAsia="Times New Roman" w:hAnsi="Arial" w:cs="Arial"/>
          <w:bCs/>
          <w:i/>
          <w:szCs w:val="20"/>
          <w:lang w:eastAsia="fr-FR"/>
        </w:rPr>
      </w:pPr>
      <w:r w:rsidRPr="00C50CEB">
        <w:rPr>
          <w:rFonts w:ascii="Arial" w:eastAsia="Times New Roman" w:hAnsi="Arial" w:cs="Arial"/>
          <w:bCs/>
          <w:i/>
          <w:szCs w:val="20"/>
          <w:lang w:eastAsia="fr-FR"/>
        </w:rPr>
        <w:t>Le Titulaire demeure pleinement responsable, à l’égard du CEA, de l’exécution des obligations du sous-traitant ultérieur conformément au contrat conclu avec le sous-traitant ultérieur. Le Titulaire informe le CEA de tout manquement du sous-traitant ultérieur à ses obligations contractuelles. Le Titulaire convient avec le sous-traitant ultérieur d’une clause du tier</w:t>
      </w:r>
      <w:r>
        <w:rPr>
          <w:rFonts w:ascii="Arial" w:eastAsia="Times New Roman" w:hAnsi="Arial" w:cs="Arial"/>
          <w:bCs/>
          <w:i/>
          <w:szCs w:val="20"/>
          <w:lang w:eastAsia="fr-FR"/>
        </w:rPr>
        <w:t xml:space="preserve">s bénéficiaire selon laquelle, </w:t>
      </w:r>
      <w:r w:rsidRPr="00C50CEB">
        <w:rPr>
          <w:rFonts w:ascii="Arial" w:eastAsia="Times New Roman" w:hAnsi="Arial" w:cs="Arial"/>
          <w:bCs/>
          <w:i/>
          <w:szCs w:val="20"/>
          <w:lang w:eastAsia="fr-FR"/>
        </w:rPr>
        <w:t>dans le cas où le Titulaire a matériellement disparu, a cessé d’exister en droit ou est devenu insolvable</w:t>
      </w:r>
      <w:r>
        <w:rPr>
          <w:rFonts w:ascii="Arial" w:eastAsia="Times New Roman" w:hAnsi="Arial" w:cs="Arial"/>
          <w:bCs/>
          <w:i/>
          <w:szCs w:val="20"/>
          <w:lang w:eastAsia="fr-FR"/>
        </w:rPr>
        <w:t xml:space="preserve">, </w:t>
      </w:r>
      <w:r w:rsidRPr="00C50CEB">
        <w:rPr>
          <w:rFonts w:ascii="Arial" w:eastAsia="Times New Roman" w:hAnsi="Arial" w:cs="Arial"/>
          <w:bCs/>
          <w:i/>
          <w:szCs w:val="20"/>
          <w:lang w:eastAsia="fr-FR"/>
        </w:rPr>
        <w:t>le CEA a le droit de résilier le contrat conclu avec le sous-traitant ultérieur et de donner instruction au sous-traitant ultérieur d’effacer ou de renvoyer les données à caractère personnel.</w:t>
      </w:r>
    </w:p>
    <w:p w14:paraId="47A0F276" w14:textId="77777777" w:rsidR="00AE4FAE" w:rsidRPr="00AE4FAE" w:rsidRDefault="00AE4FAE" w:rsidP="00101B6A">
      <w:pPr>
        <w:spacing w:after="165" w:line="240" w:lineRule="auto"/>
        <w:ind w:left="720"/>
        <w:rPr>
          <w:rFonts w:ascii="Arial" w:eastAsia="Times New Roman" w:hAnsi="Arial" w:cs="Arial"/>
          <w:b/>
          <w:i/>
          <w:szCs w:val="20"/>
          <w:lang w:eastAsia="fr-FR"/>
        </w:rPr>
      </w:pPr>
      <w:r w:rsidRPr="00AE4FAE">
        <w:rPr>
          <w:rFonts w:ascii="Arial" w:eastAsia="Times New Roman" w:hAnsi="Arial" w:cs="Arial"/>
          <w:b/>
          <w:i/>
          <w:szCs w:val="20"/>
          <w:lang w:eastAsia="fr-FR"/>
        </w:rPr>
        <w:t xml:space="preserve">9. Transferts internationaux </w:t>
      </w:r>
    </w:p>
    <w:p w14:paraId="04827615" w14:textId="77777777" w:rsidR="00AE4FAE" w:rsidRPr="00AE4FAE" w:rsidRDefault="00AE4FAE" w:rsidP="00101B6A">
      <w:pPr>
        <w:pStyle w:val="Paragraphedeliste"/>
        <w:numPr>
          <w:ilvl w:val="0"/>
          <w:numId w:val="7"/>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Tout transfert de données vers un pays tiers ou une organisation internationale par le Titulaire n’est effectué que sur la base d’instructions documentées du CEA ou afin de satisfaire à une exigence spécifique du droit de l’Union ou du droit de l’État membre à laquelle le sous-traitant est soumis et s’effectue conformément au chapitre V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w:t>
      </w:r>
    </w:p>
    <w:p w14:paraId="1BF8B59C" w14:textId="77777777" w:rsidR="00AE4FAE" w:rsidRPr="00AE4FAE" w:rsidRDefault="00AE4FAE" w:rsidP="00101B6A">
      <w:pPr>
        <w:pStyle w:val="Paragraphedeliste"/>
        <w:numPr>
          <w:ilvl w:val="0"/>
          <w:numId w:val="7"/>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 CEA convient que lorsque le Titulaire recrute un sous-traitant ultérieur pour mener des activités de traitement spécifiques (pour le compte du CEA) et que ces activités de traitement impliquent un transfert de données à caractère personnel au sens du chapitre V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le Titulaire et le sous-traitant ultérieur peuvent garantir le respect du chapitre V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en utilisant les clauses contractuelles types adoptées par la Commission sur la base de l’article 46, paragraphe 2, du règlement (UE) 2016/679 le 4 juin 2021 dans une décision d’exécution (UE) 2021/914, pour autant que les conditions d’utilisation de ces clauses contractuelles types soient remplies.  </w:t>
      </w:r>
    </w:p>
    <w:p w14:paraId="2F5BDB11" w14:textId="77777777" w:rsidR="00AE4FAE" w:rsidRPr="00AE4FAE" w:rsidRDefault="00AE4FAE" w:rsidP="00101B6A">
      <w:pPr>
        <w:pStyle w:val="Paragraphedeliste"/>
        <w:spacing w:after="165" w:line="240" w:lineRule="auto"/>
        <w:ind w:left="370"/>
        <w:rPr>
          <w:rFonts w:ascii="Arial" w:eastAsia="Times New Roman" w:hAnsi="Arial" w:cs="Arial"/>
          <w:i/>
          <w:szCs w:val="20"/>
          <w:lang w:eastAsia="fr-FR"/>
        </w:rPr>
      </w:pPr>
    </w:p>
    <w:p w14:paraId="71EFFA42"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Droit d’information des personnes concernées</w:t>
      </w:r>
    </w:p>
    <w:p w14:paraId="1E60A313"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7C5CD55C" w14:textId="77777777" w:rsidR="00AE4FAE" w:rsidRPr="00AE4FAE" w:rsidRDefault="00AE4FAE" w:rsidP="00101B6A">
      <w:pPr>
        <w:spacing w:line="240" w:lineRule="auto"/>
        <w:rPr>
          <w:rFonts w:ascii="Arial" w:eastAsia="Times New Roman" w:hAnsi="Arial" w:cs="Arial"/>
          <w:i/>
          <w:szCs w:val="20"/>
          <w:lang w:eastAsia="fr-FR"/>
        </w:rPr>
      </w:pPr>
    </w:p>
    <w:p w14:paraId="107212E0"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 </w:t>
      </w:r>
    </w:p>
    <w:p w14:paraId="034AD6F2" w14:textId="77777777" w:rsidR="00AE4FAE" w:rsidRPr="00AE4FAE" w:rsidRDefault="00AE4FAE" w:rsidP="00101B6A">
      <w:pPr>
        <w:pStyle w:val="Paragraphedeliste"/>
        <w:numPr>
          <w:ilvl w:val="1"/>
          <w:numId w:val="1"/>
        </w:numPr>
        <w:spacing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Exercice des droits des personnes</w:t>
      </w:r>
    </w:p>
    <w:p w14:paraId="6924C4E6"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42A2943B"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721D82C2"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Notification des violations de données à caractère personnel</w:t>
      </w:r>
    </w:p>
    <w:p w14:paraId="712E38D2" w14:textId="77777777" w:rsid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1546C34F" w14:textId="77777777" w:rsidR="00C50CEB" w:rsidRPr="00AE4FAE" w:rsidRDefault="00C50CEB" w:rsidP="00101B6A">
      <w:pPr>
        <w:spacing w:after="165" w:line="240" w:lineRule="auto"/>
        <w:rPr>
          <w:rFonts w:ascii="Arial" w:eastAsia="Times New Roman" w:hAnsi="Arial" w:cs="Arial"/>
          <w:i/>
          <w:szCs w:val="20"/>
          <w:lang w:eastAsia="fr-FR"/>
        </w:rPr>
      </w:pPr>
    </w:p>
    <w:p w14:paraId="56BF5A48" w14:textId="77777777" w:rsidR="00AE4FAE" w:rsidRPr="00AE4FAE" w:rsidRDefault="00AE4FAE" w:rsidP="00101B6A">
      <w:pPr>
        <w:pStyle w:val="Paragraphedeliste"/>
        <w:numPr>
          <w:ilvl w:val="0"/>
          <w:numId w:val="8"/>
        </w:numPr>
        <w:spacing w:after="165" w:line="240" w:lineRule="auto"/>
        <w:rPr>
          <w:rFonts w:ascii="Arial" w:eastAsia="Times New Roman" w:hAnsi="Arial" w:cs="Arial"/>
          <w:b/>
          <w:i/>
          <w:szCs w:val="20"/>
          <w:lang w:eastAsia="fr-FR"/>
        </w:rPr>
      </w:pPr>
      <w:r w:rsidRPr="00AE4FAE">
        <w:rPr>
          <w:rFonts w:ascii="Arial" w:eastAsia="Times New Roman" w:hAnsi="Arial" w:cs="Arial"/>
          <w:b/>
          <w:i/>
          <w:szCs w:val="20"/>
          <w:lang w:eastAsia="fr-FR"/>
        </w:rPr>
        <w:t xml:space="preserve">Violation de données en rapport avec des données traitées par le CEA </w:t>
      </w:r>
    </w:p>
    <w:p w14:paraId="05F758EC"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En cas de violation de données à caractère personnel en rapport avec des données traitées par le CEA, le Titulaire prête assistance au CEA: </w:t>
      </w:r>
    </w:p>
    <w:p w14:paraId="7D1B0443" w14:textId="77777777" w:rsidR="00AE4FAE" w:rsidRPr="00AE4FAE" w:rsidRDefault="00AE4FAE" w:rsidP="00101B6A">
      <w:pPr>
        <w:pStyle w:val="Paragraphedeliste"/>
        <w:numPr>
          <w:ilvl w:val="0"/>
          <w:numId w:val="9"/>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Aux fins de la notification de la violation de données à caractère personnel à l’autorité de contrôle compétente/aux autorités de contrôle compétentes, dans les meilleurs délais après que le CEA en a eu connaissance, le cas échéant (sauf si la violation de données à caractère personnel est peu susceptible d'engendrer un risque pour les droits et libertés des personnes physiques); </w:t>
      </w:r>
    </w:p>
    <w:p w14:paraId="107F76D4" w14:textId="77777777" w:rsidR="00AE4FAE" w:rsidRPr="00AE4FAE" w:rsidRDefault="00AE4FAE" w:rsidP="00101B6A">
      <w:pPr>
        <w:pStyle w:val="Paragraphedeliste"/>
        <w:numPr>
          <w:ilvl w:val="0"/>
          <w:numId w:val="9"/>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Aux fins de l’obtention des informations suivantes qui, conformément à l’article 33, paragraphe 3, du règlement </w:t>
      </w:r>
      <w:r w:rsidRPr="00AE4FAE">
        <w:rPr>
          <w:rFonts w:ascii="Arial" w:eastAsia="Times New Roman" w:hAnsi="Arial" w:cs="Arial"/>
          <w:bCs/>
          <w:i/>
          <w:iCs/>
          <w:szCs w:val="20"/>
          <w:lang w:eastAsia="fr-FR"/>
        </w:rPr>
        <w:t>européen sur la protection des données</w:t>
      </w:r>
      <w:r w:rsidRPr="00AE4FAE">
        <w:rPr>
          <w:rFonts w:ascii="Arial" w:eastAsia="Times New Roman" w:hAnsi="Arial" w:cs="Arial"/>
          <w:i/>
          <w:szCs w:val="20"/>
          <w:lang w:eastAsia="fr-FR"/>
        </w:rPr>
        <w:t xml:space="preserve">, doivent figurer dans la notification du CEA, et inclure, au moins: </w:t>
      </w:r>
    </w:p>
    <w:p w14:paraId="04FE597E" w14:textId="77777777" w:rsidR="00AE4FAE" w:rsidRPr="00AE4FAE" w:rsidRDefault="00AE4FAE" w:rsidP="00101B6A">
      <w:pPr>
        <w:pStyle w:val="Paragraphedeliste"/>
        <w:spacing w:after="165" w:line="240" w:lineRule="auto"/>
        <w:rPr>
          <w:rFonts w:ascii="Arial" w:eastAsia="Times New Roman" w:hAnsi="Arial" w:cs="Arial"/>
          <w:i/>
          <w:szCs w:val="20"/>
          <w:lang w:eastAsia="fr-FR"/>
        </w:rPr>
      </w:pPr>
    </w:p>
    <w:p w14:paraId="2CBBEC46" w14:textId="77777777" w:rsidR="00AE4FAE" w:rsidRPr="00AE4FAE" w:rsidRDefault="00AE4FAE" w:rsidP="00101B6A">
      <w:pPr>
        <w:pStyle w:val="Paragraphedeliste"/>
        <w:numPr>
          <w:ilvl w:val="0"/>
          <w:numId w:val="10"/>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4064076E" w14:textId="77777777" w:rsidR="00AE4FAE" w:rsidRPr="00AE4FAE" w:rsidRDefault="00AE4FAE" w:rsidP="00101B6A">
      <w:pPr>
        <w:pStyle w:val="Paragraphedeliste"/>
        <w:numPr>
          <w:ilvl w:val="0"/>
          <w:numId w:val="10"/>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conséquences probables de la violation de données à caractère personnel; </w:t>
      </w:r>
    </w:p>
    <w:p w14:paraId="587DE42C" w14:textId="77777777" w:rsidR="00AE4FAE" w:rsidRPr="00AE4FAE" w:rsidRDefault="00AE4FAE" w:rsidP="00101B6A">
      <w:pPr>
        <w:pStyle w:val="Paragraphedeliste"/>
        <w:numPr>
          <w:ilvl w:val="0"/>
          <w:numId w:val="10"/>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mesures prises ou les mesures que le CEA propose de prendre pour remédier à la violation de données à caractère personnel, y compris, le cas échéant, les mesures pour en atténuer les éventuelles conséquences négatives. </w:t>
      </w:r>
    </w:p>
    <w:p w14:paraId="70A74452" w14:textId="77777777" w:rsidR="00AE4FAE" w:rsidRPr="00AE4FAE" w:rsidRDefault="00AE4FAE" w:rsidP="00101B6A">
      <w:pPr>
        <w:pStyle w:val="Paragraphedeliste"/>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5BF503E9" w14:textId="77777777" w:rsidR="00AE4FAE" w:rsidRPr="00AE4FAE" w:rsidRDefault="00AE4FAE" w:rsidP="00101B6A">
      <w:pPr>
        <w:pStyle w:val="Paragraphedeliste"/>
        <w:numPr>
          <w:ilvl w:val="0"/>
          <w:numId w:val="9"/>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Aux fins de la satisfaction, conformément à l’article 34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  </w:t>
      </w:r>
    </w:p>
    <w:p w14:paraId="61A3E0E0" w14:textId="77777777" w:rsidR="00AE4FAE" w:rsidRPr="00AE4FAE" w:rsidRDefault="00AE4FAE" w:rsidP="00101B6A">
      <w:pPr>
        <w:pStyle w:val="Paragraphedeliste"/>
        <w:spacing w:after="165" w:line="240" w:lineRule="auto"/>
        <w:rPr>
          <w:rFonts w:ascii="Arial" w:eastAsia="Times New Roman" w:hAnsi="Arial" w:cs="Arial"/>
          <w:i/>
          <w:szCs w:val="20"/>
          <w:lang w:eastAsia="fr-FR"/>
        </w:rPr>
      </w:pPr>
    </w:p>
    <w:p w14:paraId="66F6EC68" w14:textId="77777777" w:rsidR="00AE4FAE" w:rsidRPr="00AE4FAE" w:rsidRDefault="00AE4FAE" w:rsidP="00101B6A">
      <w:pPr>
        <w:pStyle w:val="Paragraphedeliste"/>
        <w:numPr>
          <w:ilvl w:val="0"/>
          <w:numId w:val="11"/>
        </w:numPr>
        <w:spacing w:after="165" w:line="240" w:lineRule="auto"/>
        <w:rPr>
          <w:rFonts w:ascii="Arial" w:eastAsia="Times New Roman" w:hAnsi="Arial" w:cs="Arial"/>
          <w:b/>
          <w:i/>
          <w:szCs w:val="20"/>
          <w:lang w:eastAsia="fr-FR"/>
        </w:rPr>
      </w:pPr>
      <w:r w:rsidRPr="00AE4FAE">
        <w:rPr>
          <w:rFonts w:ascii="Arial" w:eastAsia="Times New Roman" w:hAnsi="Arial" w:cs="Arial"/>
          <w:b/>
          <w:i/>
          <w:szCs w:val="20"/>
          <w:lang w:eastAsia="fr-FR"/>
        </w:rPr>
        <w:t xml:space="preserve">Violation de données en rapport avec des données traitées par le Titulaire </w:t>
      </w:r>
    </w:p>
    <w:p w14:paraId="29D8355D"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En cas de violation de données en rapport avec des données traitées par le Titulaire, la notification faite au CEA contient au moins: </w:t>
      </w:r>
    </w:p>
    <w:p w14:paraId="6683F39F" w14:textId="77777777" w:rsidR="00AE4FAE" w:rsidRPr="00AE4FAE" w:rsidRDefault="00AE4FAE" w:rsidP="00101B6A">
      <w:pPr>
        <w:pStyle w:val="Paragraphedeliste"/>
        <w:numPr>
          <w:ilvl w:val="0"/>
          <w:numId w:val="12"/>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Une description de la nature de la violation constatée (y compris, si possible, les catégories et le nombre approximatif de personnes concernées par la violation et d'enregistrements de données à caractère personnel concernés); </w:t>
      </w:r>
    </w:p>
    <w:p w14:paraId="6F25F57F" w14:textId="77777777" w:rsidR="00AE4FAE" w:rsidRPr="00AE4FAE" w:rsidRDefault="00AE4FAE" w:rsidP="00101B6A">
      <w:pPr>
        <w:pStyle w:val="Paragraphedeliste"/>
        <w:numPr>
          <w:ilvl w:val="0"/>
          <w:numId w:val="12"/>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coordonnées d’un point de contact auprès duquel des informations supplémentaires peuvent être obtenues au sujet de la violation de données à caractère personnel; </w:t>
      </w:r>
    </w:p>
    <w:p w14:paraId="1E480811" w14:textId="77777777" w:rsidR="00AE4FAE" w:rsidRPr="00AE4FAE" w:rsidRDefault="00AE4FAE" w:rsidP="00101B6A">
      <w:pPr>
        <w:pStyle w:val="Paragraphedeliste"/>
        <w:numPr>
          <w:ilvl w:val="0"/>
          <w:numId w:val="12"/>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Ses conséquences probables et les mesures prises ou les mesures qu’il est proposé de prendre pour remédier à la violation, y compris pour en atténuer les éventuelles conséquences négatives. </w:t>
      </w:r>
    </w:p>
    <w:p w14:paraId="4C6A42A0"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238AD4C9"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011E2A3" w14:textId="77777777" w:rsidR="00C50CEB" w:rsidRDefault="00C50CEB" w:rsidP="00101B6A">
      <w:pPr>
        <w:pStyle w:val="Paragraphedeliste"/>
        <w:spacing w:before="100" w:beforeAutospacing="1" w:after="150" w:line="240" w:lineRule="auto"/>
        <w:ind w:left="785"/>
        <w:rPr>
          <w:rFonts w:ascii="Arial" w:eastAsia="Times New Roman" w:hAnsi="Arial" w:cs="Arial"/>
          <w:i/>
          <w:szCs w:val="20"/>
          <w:lang w:eastAsia="fr-FR"/>
        </w:rPr>
      </w:pPr>
    </w:p>
    <w:p w14:paraId="693042DB" w14:textId="77777777" w:rsidR="00C50CEB" w:rsidRDefault="00C50CEB" w:rsidP="00101B6A">
      <w:pPr>
        <w:pStyle w:val="Paragraphedeliste"/>
        <w:spacing w:before="100" w:beforeAutospacing="1" w:after="150" w:line="240" w:lineRule="auto"/>
        <w:ind w:left="785"/>
        <w:rPr>
          <w:rFonts w:ascii="Arial" w:eastAsia="Times New Roman" w:hAnsi="Arial" w:cs="Arial"/>
          <w:i/>
          <w:szCs w:val="20"/>
          <w:lang w:eastAsia="fr-FR"/>
        </w:rPr>
      </w:pPr>
    </w:p>
    <w:p w14:paraId="7B81BBDF" w14:textId="77777777" w:rsidR="00C50CEB" w:rsidRDefault="00C50CEB" w:rsidP="00101B6A">
      <w:pPr>
        <w:pStyle w:val="Paragraphedeliste"/>
        <w:spacing w:before="100" w:beforeAutospacing="1" w:after="150" w:line="240" w:lineRule="auto"/>
        <w:ind w:left="785"/>
        <w:rPr>
          <w:rFonts w:ascii="Arial" w:eastAsia="Times New Roman" w:hAnsi="Arial" w:cs="Arial"/>
          <w:i/>
          <w:szCs w:val="20"/>
          <w:lang w:eastAsia="fr-FR"/>
        </w:rPr>
      </w:pPr>
    </w:p>
    <w:p w14:paraId="3B1164EE" w14:textId="77777777" w:rsidR="00C50CEB" w:rsidRDefault="00C50CEB" w:rsidP="00101B6A">
      <w:pPr>
        <w:pStyle w:val="Paragraphedeliste"/>
        <w:spacing w:before="100" w:beforeAutospacing="1" w:after="150" w:line="240" w:lineRule="auto"/>
        <w:ind w:left="785"/>
        <w:rPr>
          <w:rFonts w:ascii="Arial" w:eastAsia="Times New Roman" w:hAnsi="Arial" w:cs="Arial"/>
          <w:i/>
          <w:szCs w:val="20"/>
          <w:lang w:eastAsia="fr-FR"/>
        </w:rPr>
      </w:pPr>
    </w:p>
    <w:p w14:paraId="2559CF4F" w14:textId="77777777" w:rsidR="00C50CEB" w:rsidRDefault="00C50CEB" w:rsidP="00101B6A">
      <w:pPr>
        <w:pStyle w:val="Paragraphedeliste"/>
        <w:spacing w:before="100" w:beforeAutospacing="1" w:after="150" w:line="240" w:lineRule="auto"/>
        <w:ind w:left="785"/>
        <w:rPr>
          <w:rFonts w:ascii="Arial" w:eastAsia="Times New Roman" w:hAnsi="Arial" w:cs="Arial"/>
          <w:i/>
          <w:szCs w:val="20"/>
          <w:lang w:eastAsia="fr-FR"/>
        </w:rPr>
      </w:pPr>
    </w:p>
    <w:p w14:paraId="0172E32B" w14:textId="77777777" w:rsidR="00C50CEB" w:rsidRDefault="00C50CEB" w:rsidP="00101B6A">
      <w:pPr>
        <w:pStyle w:val="Paragraphedeliste"/>
        <w:spacing w:before="100" w:beforeAutospacing="1" w:after="150" w:line="240" w:lineRule="auto"/>
        <w:ind w:left="785"/>
        <w:rPr>
          <w:rFonts w:ascii="Arial" w:eastAsia="Times New Roman" w:hAnsi="Arial" w:cs="Arial"/>
          <w:i/>
          <w:szCs w:val="20"/>
          <w:lang w:eastAsia="fr-FR"/>
        </w:rPr>
      </w:pPr>
    </w:p>
    <w:p w14:paraId="2F819774"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99C04C7"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16FF7C9"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0F819FAB"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7AD72372"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A77B713"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DB7304A"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07C45F4D"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388CD57" w14:textId="77777777" w:rsidR="002305C5" w:rsidRP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023A3736"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Mesures de sécurité</w:t>
      </w:r>
    </w:p>
    <w:p w14:paraId="0E64B35D"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4469"/>
        <w:gridCol w:w="4469"/>
      </w:tblGrid>
      <w:tr w:rsidR="00AE4FAE" w:rsidRPr="00AE4FAE" w14:paraId="099BFFAE" w14:textId="77777777" w:rsidTr="008A62BD">
        <w:tc>
          <w:tcPr>
            <w:tcW w:w="2500" w:type="pct"/>
          </w:tcPr>
          <w:p w14:paraId="4841B8B9" w14:textId="77777777" w:rsidR="00AE4FAE" w:rsidRPr="00AE4FAE" w:rsidRDefault="00AE4FAE" w:rsidP="00101B6A">
            <w:pPr>
              <w:spacing w:after="165"/>
              <w:rPr>
                <w:rFonts w:ascii="Arial" w:eastAsia="Times New Roman" w:hAnsi="Arial" w:cs="Arial"/>
                <w:i/>
                <w:szCs w:val="20"/>
                <w:lang w:eastAsia="fr-FR"/>
              </w:rPr>
            </w:pPr>
            <w:proofErr w:type="spellStart"/>
            <w:r w:rsidRPr="00AE4FAE">
              <w:rPr>
                <w:rFonts w:ascii="Arial" w:eastAsia="Times New Roman" w:hAnsi="Arial" w:cs="Arial"/>
                <w:i/>
                <w:szCs w:val="20"/>
                <w:lang w:eastAsia="fr-FR"/>
              </w:rPr>
              <w:t>Pseudonymisation</w:t>
            </w:r>
            <w:proofErr w:type="spellEnd"/>
            <w:r w:rsidRPr="00AE4FAE">
              <w:rPr>
                <w:rFonts w:ascii="Arial" w:eastAsia="Times New Roman" w:hAnsi="Arial" w:cs="Arial"/>
                <w:i/>
                <w:szCs w:val="20"/>
                <w:lang w:eastAsia="fr-FR"/>
              </w:rPr>
              <w:t xml:space="preserve"> des données à caractère personnel (si applicable)</w:t>
            </w:r>
          </w:p>
        </w:tc>
        <w:tc>
          <w:tcPr>
            <w:tcW w:w="2500" w:type="pct"/>
          </w:tcPr>
          <w:p w14:paraId="1C587C0F" w14:textId="77777777" w:rsidR="00AE4FAE" w:rsidRPr="00AE4FAE" w:rsidRDefault="00D318FD" w:rsidP="00101B6A">
            <w:pPr>
              <w:spacing w:after="165"/>
              <w:rPr>
                <w:rFonts w:ascii="Arial" w:eastAsia="Times New Roman" w:hAnsi="Arial" w:cs="Arial"/>
                <w:b/>
                <w:i/>
                <w:color w:val="7030A0"/>
                <w:szCs w:val="20"/>
                <w:lang w:eastAsia="fr-FR"/>
              </w:rPr>
            </w:pPr>
            <w:r>
              <w:rPr>
                <w:rFonts w:ascii="Arial" w:eastAsia="Times New Roman" w:hAnsi="Arial" w:cs="Arial"/>
                <w:b/>
                <w:i/>
                <w:color w:val="7030A0"/>
                <w:szCs w:val="20"/>
                <w:lang w:eastAsia="fr-FR"/>
              </w:rPr>
              <w:t>Sans Objet</w:t>
            </w:r>
          </w:p>
        </w:tc>
      </w:tr>
      <w:tr w:rsidR="00AE4FAE" w:rsidRPr="00AE4FAE" w14:paraId="3FB48042" w14:textId="77777777" w:rsidTr="008A62BD">
        <w:tc>
          <w:tcPr>
            <w:tcW w:w="2500" w:type="pct"/>
          </w:tcPr>
          <w:p w14:paraId="40AC5A7A"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Chiffrement des données à caractère personnel</w:t>
            </w:r>
          </w:p>
        </w:tc>
        <w:tc>
          <w:tcPr>
            <w:tcW w:w="2500" w:type="pct"/>
          </w:tcPr>
          <w:p w14:paraId="2F17D0DD" w14:textId="77777777" w:rsidR="00AE4FAE" w:rsidRPr="00AE4FAE" w:rsidRDefault="00D318FD" w:rsidP="00101B6A">
            <w:pPr>
              <w:spacing w:after="165"/>
              <w:rPr>
                <w:rFonts w:ascii="Arial" w:eastAsia="Times New Roman" w:hAnsi="Arial" w:cs="Arial"/>
                <w:b/>
                <w:i/>
                <w:color w:val="7030A0"/>
                <w:szCs w:val="20"/>
                <w:lang w:eastAsia="fr-FR"/>
              </w:rPr>
            </w:pPr>
            <w:r>
              <w:rPr>
                <w:rFonts w:ascii="Arial" w:eastAsia="Times New Roman" w:hAnsi="Arial" w:cs="Arial"/>
                <w:b/>
                <w:i/>
                <w:color w:val="7030A0"/>
                <w:szCs w:val="20"/>
                <w:lang w:eastAsia="fr-FR"/>
              </w:rPr>
              <w:t>Sans Objet</w:t>
            </w:r>
          </w:p>
        </w:tc>
      </w:tr>
      <w:tr w:rsidR="00AE4FAE" w:rsidRPr="00AE4FAE" w14:paraId="771FFEEE" w14:textId="77777777" w:rsidTr="008A62BD">
        <w:tc>
          <w:tcPr>
            <w:tcW w:w="2500" w:type="pct"/>
          </w:tcPr>
          <w:p w14:paraId="0AA932E1"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Moyens permettant de garantir la confidentialité et l’intégrité des données</w:t>
            </w:r>
          </w:p>
        </w:tc>
        <w:tc>
          <w:tcPr>
            <w:tcW w:w="2500" w:type="pct"/>
          </w:tcPr>
          <w:p w14:paraId="18119F7B" w14:textId="77777777" w:rsidR="00AE4FAE" w:rsidRPr="00AE4FAE" w:rsidRDefault="00D318FD" w:rsidP="00D318FD">
            <w:pPr>
              <w:spacing w:after="165"/>
              <w:rPr>
                <w:rFonts w:ascii="Arial" w:eastAsia="Times New Roman" w:hAnsi="Arial" w:cs="Arial"/>
                <w:b/>
                <w:i/>
                <w:color w:val="7030A0"/>
                <w:szCs w:val="20"/>
                <w:lang w:eastAsia="fr-FR"/>
              </w:rPr>
            </w:pPr>
            <w:r>
              <w:rPr>
                <w:rFonts w:ascii="Arial" w:eastAsia="Times New Roman" w:hAnsi="Arial" w:cs="Arial"/>
                <w:b/>
                <w:i/>
                <w:color w:val="7030A0"/>
                <w:szCs w:val="20"/>
                <w:lang w:eastAsia="fr-FR"/>
              </w:rPr>
              <w:t xml:space="preserve">Données gérées sur système d’information interne médical. Les traitements sont réalisés en cohérence avec la PSSI CEA. </w:t>
            </w:r>
          </w:p>
        </w:tc>
      </w:tr>
      <w:tr w:rsidR="00AE4FAE" w:rsidRPr="00AE4FAE" w14:paraId="503142E5" w14:textId="77777777" w:rsidTr="008A62BD">
        <w:tc>
          <w:tcPr>
            <w:tcW w:w="2500" w:type="pct"/>
          </w:tcPr>
          <w:p w14:paraId="2183FB15"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Moyens permettant de rétablir la disponibilité des données et leur accès dans des délais appropriés en cas d’incident physique ou technique</w:t>
            </w:r>
          </w:p>
        </w:tc>
        <w:tc>
          <w:tcPr>
            <w:tcW w:w="2500" w:type="pct"/>
          </w:tcPr>
          <w:p w14:paraId="5F44099A" w14:textId="77777777" w:rsidR="00AE4FAE" w:rsidRPr="00AE4FAE" w:rsidRDefault="00D318FD" w:rsidP="00101B6A">
            <w:pPr>
              <w:spacing w:after="165"/>
              <w:rPr>
                <w:rFonts w:ascii="Arial" w:eastAsia="Times New Roman" w:hAnsi="Arial" w:cs="Arial"/>
                <w:b/>
                <w:i/>
                <w:color w:val="7030A0"/>
                <w:szCs w:val="20"/>
                <w:lang w:eastAsia="fr-FR"/>
              </w:rPr>
            </w:pPr>
            <w:r>
              <w:rPr>
                <w:rFonts w:ascii="Arial" w:eastAsia="Times New Roman" w:hAnsi="Arial" w:cs="Arial"/>
                <w:b/>
                <w:i/>
                <w:color w:val="7030A0"/>
                <w:szCs w:val="20"/>
                <w:lang w:eastAsia="fr-FR"/>
              </w:rPr>
              <w:t>En cohérence avec PSSI</w:t>
            </w:r>
          </w:p>
        </w:tc>
      </w:tr>
      <w:tr w:rsidR="00AE4FAE" w:rsidRPr="00AE4FAE" w14:paraId="63929D1E" w14:textId="77777777" w:rsidTr="008A62BD">
        <w:tc>
          <w:tcPr>
            <w:tcW w:w="2500" w:type="pct"/>
          </w:tcPr>
          <w:p w14:paraId="0CE01EE4"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Procédure visant à tester, analyser, évaluer l’efficacité des mesures de sécurité</w:t>
            </w:r>
          </w:p>
        </w:tc>
        <w:tc>
          <w:tcPr>
            <w:tcW w:w="2500" w:type="pct"/>
          </w:tcPr>
          <w:p w14:paraId="0D0DC030" w14:textId="77777777" w:rsidR="00AE4FAE" w:rsidRPr="00AE4FAE" w:rsidRDefault="00D318FD" w:rsidP="00101B6A">
            <w:pPr>
              <w:spacing w:after="165"/>
              <w:rPr>
                <w:rFonts w:ascii="Arial" w:eastAsia="Times New Roman" w:hAnsi="Arial" w:cs="Arial"/>
                <w:b/>
                <w:i/>
                <w:color w:val="7030A0"/>
                <w:szCs w:val="20"/>
                <w:lang w:eastAsia="fr-FR"/>
              </w:rPr>
            </w:pPr>
            <w:r>
              <w:rPr>
                <w:rFonts w:ascii="Arial" w:eastAsia="Times New Roman" w:hAnsi="Arial" w:cs="Arial"/>
                <w:b/>
                <w:i/>
                <w:color w:val="7030A0"/>
                <w:szCs w:val="20"/>
                <w:lang w:eastAsia="fr-FR"/>
              </w:rPr>
              <w:t>Sans Objet</w:t>
            </w:r>
          </w:p>
        </w:tc>
      </w:tr>
    </w:tbl>
    <w:p w14:paraId="0AA28422"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Sort des données</w:t>
      </w:r>
    </w:p>
    <w:p w14:paraId="17B3C5F9" w14:textId="77777777" w:rsidR="00AE4FAE" w:rsidRPr="00AE4FAE" w:rsidRDefault="00AE4FAE" w:rsidP="00101B6A">
      <w:p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66BEAF15"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Délégué à la protection des données</w:t>
      </w:r>
    </w:p>
    <w:p w14:paraId="3C4F995D"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communique au CEA </w:t>
      </w:r>
      <w:r w:rsidRPr="00AE4FAE">
        <w:rPr>
          <w:rFonts w:ascii="Arial" w:eastAsia="Times New Roman" w:hAnsi="Arial" w:cs="Arial"/>
          <w:b/>
          <w:bCs/>
          <w:i/>
          <w:szCs w:val="20"/>
          <w:lang w:eastAsia="fr-FR"/>
        </w:rPr>
        <w:t>le nom et les coordonnées de son délégué à la protection des données,</w:t>
      </w:r>
      <w:r w:rsidRPr="00AE4FAE">
        <w:rPr>
          <w:rFonts w:ascii="Arial" w:eastAsia="Times New Roman" w:hAnsi="Arial" w:cs="Arial"/>
          <w:i/>
          <w:szCs w:val="20"/>
          <w:lang w:eastAsia="fr-FR"/>
        </w:rPr>
        <w:t> s’il en a désigné un conformément à l’article 37 du règlement européen sur la protection des données.</w:t>
      </w:r>
    </w:p>
    <w:p w14:paraId="54BB4B5E"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Registre des catégories d’activités de traitement</w:t>
      </w:r>
    </w:p>
    <w:p w14:paraId="30473309" w14:textId="77777777" w:rsid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déclare </w:t>
      </w:r>
      <w:r w:rsidRPr="00AE4FAE">
        <w:rPr>
          <w:rFonts w:ascii="Arial" w:eastAsia="Times New Roman" w:hAnsi="Arial" w:cs="Arial"/>
          <w:b/>
          <w:bCs/>
          <w:i/>
          <w:szCs w:val="20"/>
          <w:lang w:eastAsia="fr-FR"/>
        </w:rPr>
        <w:t>tenir par écrit un registre</w:t>
      </w:r>
      <w:r w:rsidRPr="00AE4FAE">
        <w:rPr>
          <w:rFonts w:ascii="Arial" w:eastAsia="Times New Roman" w:hAnsi="Arial" w:cs="Arial"/>
          <w:i/>
          <w:szCs w:val="20"/>
          <w:lang w:eastAsia="fr-FR"/>
        </w:rPr>
        <w:t> de toutes les catégories d’activités de traitement effectuées pour le compte du CEA comprenant les éléments imposés par le règlement européen sur la protection des données.</w:t>
      </w:r>
    </w:p>
    <w:p w14:paraId="367DAA99"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Documentation</w:t>
      </w:r>
    </w:p>
    <w:p w14:paraId="0E06909E"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met à la disposition du CEA </w:t>
      </w:r>
      <w:r w:rsidRPr="00AE4FAE">
        <w:rPr>
          <w:rFonts w:ascii="Arial" w:eastAsia="Times New Roman" w:hAnsi="Arial" w:cs="Arial"/>
          <w:b/>
          <w:bCs/>
          <w:i/>
          <w:szCs w:val="20"/>
          <w:lang w:eastAsia="fr-FR"/>
        </w:rPr>
        <w:t>la documentation nécessaire pour démontrer le respect de toutes ses obligations</w:t>
      </w:r>
      <w:r w:rsidRPr="00AE4FAE">
        <w:rPr>
          <w:rFonts w:ascii="Arial" w:eastAsia="Times New Roman" w:hAnsi="Arial" w:cs="Arial"/>
          <w:i/>
          <w:szCs w:val="20"/>
          <w:lang w:eastAsia="fr-FR"/>
        </w:rPr>
        <w:t> et pour permettre la réalisation d'audits, y compris des inspections, par le CEA ou un autre auditeur qu'il a mandaté, et contribuer à ces audits.</w:t>
      </w:r>
    </w:p>
    <w:p w14:paraId="2CE6B97E"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IV. Obligations du CEA vis-à-vis du Titulaire</w:t>
      </w:r>
    </w:p>
    <w:p w14:paraId="2A66E42D"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 CEA s’engage à : </w:t>
      </w:r>
    </w:p>
    <w:p w14:paraId="484C5E2D"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Fournir au Titulaire les données visées au II des présentes clauses ;</w:t>
      </w:r>
    </w:p>
    <w:p w14:paraId="34C5B74B"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Documenter par écrit toute instruction concernant le traitement des données par le Titulaire ;</w:t>
      </w:r>
    </w:p>
    <w:p w14:paraId="20159502"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Veiller, au préalable et pendant toute la durée du traitement, au respect des obligations prévues par le règlement européen sur la protection des données de la part du Titulaire ;</w:t>
      </w:r>
    </w:p>
    <w:p w14:paraId="7702429E"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Superviser le traitement, y compris réaliser les audits et les inspections auprès du Titulaire.</w:t>
      </w:r>
    </w:p>
    <w:p w14:paraId="2CC29FE2" w14:textId="77777777" w:rsidR="00AE4FAE" w:rsidRPr="00501723" w:rsidRDefault="00AE4FAE" w:rsidP="00101B6A">
      <w:pPr>
        <w:widowControl w:val="0"/>
        <w:autoSpaceDE w:val="0"/>
        <w:autoSpaceDN w:val="0"/>
        <w:adjustRightInd w:val="0"/>
        <w:spacing w:line="240" w:lineRule="auto"/>
        <w:rPr>
          <w:rFonts w:cstheme="minorHAnsi"/>
          <w:i/>
        </w:rPr>
      </w:pPr>
    </w:p>
    <w:p w14:paraId="417C7DF0" w14:textId="77777777" w:rsidR="00795567" w:rsidRDefault="002305C5" w:rsidP="00101B6A">
      <w:pPr>
        <w:ind w:left="1416"/>
      </w:pPr>
      <w:r>
        <w:t>______________________________________________________</w:t>
      </w:r>
    </w:p>
    <w:sectPr w:rsidR="00795567" w:rsidSect="00AE4FAE">
      <w:headerReference w:type="default" r:id="rId7"/>
      <w:footerReference w:type="default" r:id="rId8"/>
      <w:headerReference w:type="first" r:id="rId9"/>
      <w:footerReference w:type="first" r:id="rId10"/>
      <w:pgSz w:w="11906" w:h="16838" w:code="9"/>
      <w:pgMar w:top="-989" w:right="1133" w:bottom="284" w:left="1814" w:header="258"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44FE0" w14:textId="77777777" w:rsidR="00FF628B" w:rsidRDefault="00FF628B" w:rsidP="00AE4FAE">
      <w:pPr>
        <w:spacing w:line="240" w:lineRule="auto"/>
      </w:pPr>
      <w:r>
        <w:separator/>
      </w:r>
    </w:p>
  </w:endnote>
  <w:endnote w:type="continuationSeparator" w:id="0">
    <w:p w14:paraId="3E90C1DE" w14:textId="77777777" w:rsidR="00FF628B" w:rsidRDefault="00FF628B" w:rsidP="00AE4F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9A91D" w14:textId="77777777" w:rsidR="004D4A38" w:rsidRDefault="00FF628B" w:rsidP="004D4A38">
    <w:pPr>
      <w:tabs>
        <w:tab w:val="center" w:pos="4550"/>
        <w:tab w:val="left" w:pos="5818"/>
      </w:tabs>
      <w:ind w:right="260"/>
      <w:jc w:val="center"/>
      <w:rPr>
        <w:color w:val="222A35" w:themeColor="text2" w:themeShade="80"/>
        <w:sz w:val="24"/>
        <w:szCs w:val="24"/>
      </w:rPr>
    </w:pPr>
  </w:p>
  <w:p w14:paraId="51E96792" w14:textId="77777777" w:rsidR="00882BEE" w:rsidRPr="004D4A38" w:rsidRDefault="00AE4FAE" w:rsidP="004D4A38">
    <w:pPr>
      <w:pStyle w:val="Pieddepage"/>
      <w:jc w:val="right"/>
      <w:rPr>
        <w:sz w:val="18"/>
      </w:rPr>
    </w:pPr>
    <w:r w:rsidRPr="004D4A38">
      <w:rPr>
        <w:sz w:val="18"/>
      </w:rPr>
      <w:t xml:space="preserve">Page </w:t>
    </w:r>
    <w:r w:rsidRPr="004D4A38">
      <w:rPr>
        <w:bCs/>
        <w:sz w:val="18"/>
      </w:rPr>
      <w:fldChar w:fldCharType="begin"/>
    </w:r>
    <w:r w:rsidRPr="004D4A38">
      <w:rPr>
        <w:bCs/>
        <w:sz w:val="18"/>
      </w:rPr>
      <w:instrText>PAGE  \* Arabic  \* MERGEFORMAT</w:instrText>
    </w:r>
    <w:r w:rsidRPr="004D4A38">
      <w:rPr>
        <w:bCs/>
        <w:sz w:val="18"/>
      </w:rPr>
      <w:fldChar w:fldCharType="separate"/>
    </w:r>
    <w:r w:rsidR="00C50CEB">
      <w:rPr>
        <w:bCs/>
        <w:noProof/>
        <w:sz w:val="18"/>
      </w:rPr>
      <w:t>5</w:t>
    </w:r>
    <w:r w:rsidRPr="004D4A38">
      <w:rPr>
        <w:bCs/>
        <w:sz w:val="18"/>
      </w:rPr>
      <w:fldChar w:fldCharType="end"/>
    </w:r>
    <w:r w:rsidRPr="004D4A38">
      <w:rPr>
        <w:sz w:val="18"/>
      </w:rPr>
      <w:t xml:space="preserve"> sur </w:t>
    </w:r>
    <w:r w:rsidRPr="004D4A38">
      <w:rPr>
        <w:bCs/>
        <w:sz w:val="18"/>
      </w:rPr>
      <w:fldChar w:fldCharType="begin"/>
    </w:r>
    <w:r w:rsidRPr="004D4A38">
      <w:rPr>
        <w:bCs/>
        <w:sz w:val="18"/>
      </w:rPr>
      <w:instrText>NUMPAGES  \* Arabic  \* MERGEFORMAT</w:instrText>
    </w:r>
    <w:r w:rsidRPr="004D4A38">
      <w:rPr>
        <w:bCs/>
        <w:sz w:val="18"/>
      </w:rPr>
      <w:fldChar w:fldCharType="separate"/>
    </w:r>
    <w:r w:rsidR="00C50CEB">
      <w:rPr>
        <w:bCs/>
        <w:noProof/>
        <w:sz w:val="18"/>
      </w:rPr>
      <w:t>5</w:t>
    </w:r>
    <w:r w:rsidRPr="004D4A38">
      <w:rPr>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DB058" w14:textId="77777777" w:rsidR="00882BEE" w:rsidRDefault="00FF628B">
    <w:pPr>
      <w:pStyle w:val="Pieddepage"/>
    </w:pPr>
  </w:p>
  <w:p w14:paraId="050317DC" w14:textId="77777777" w:rsidR="00882BEE" w:rsidRDefault="00FF628B">
    <w:pPr>
      <w:pStyle w:val="Pieddepage"/>
    </w:pPr>
  </w:p>
  <w:p w14:paraId="62B6F802" w14:textId="77777777" w:rsidR="00882BEE" w:rsidRDefault="00FF628B">
    <w:pPr>
      <w:pStyle w:val="Pieddepage"/>
    </w:pPr>
  </w:p>
  <w:p w14:paraId="2055618F" w14:textId="77777777" w:rsidR="00882BEE" w:rsidRDefault="00FF628B">
    <w:pPr>
      <w:pStyle w:val="Pieddepage"/>
    </w:pPr>
  </w:p>
  <w:p w14:paraId="068C75F5" w14:textId="77777777" w:rsidR="00882BEE" w:rsidRDefault="00FF628B">
    <w:pPr>
      <w:pStyle w:val="Pieddepage"/>
    </w:pPr>
  </w:p>
  <w:p w14:paraId="5595E4A9" w14:textId="77777777" w:rsidR="00882BEE" w:rsidRDefault="00FF62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A736" w14:textId="77777777" w:rsidR="00FF628B" w:rsidRDefault="00FF628B" w:rsidP="00AE4FAE">
      <w:pPr>
        <w:spacing w:line="240" w:lineRule="auto"/>
      </w:pPr>
      <w:r>
        <w:separator/>
      </w:r>
    </w:p>
  </w:footnote>
  <w:footnote w:type="continuationSeparator" w:id="0">
    <w:p w14:paraId="486D5D41" w14:textId="77777777" w:rsidR="00FF628B" w:rsidRDefault="00FF628B" w:rsidP="00AE4FAE">
      <w:pPr>
        <w:spacing w:line="240" w:lineRule="auto"/>
      </w:pPr>
      <w:r>
        <w:continuationSeparator/>
      </w:r>
    </w:p>
  </w:footnote>
  <w:footnote w:id="1">
    <w:p w14:paraId="50536AB3"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Préciser ce que le prestataire va faire avec les données. Par exemple</w:t>
      </w:r>
      <w:r>
        <w:rPr>
          <w:rFonts w:ascii="Arial" w:eastAsia="Times New Roman" w:hAnsi="Arial" w:cs="Arial"/>
          <w:color w:val="000000" w:themeColor="text1"/>
          <w:sz w:val="18"/>
          <w:lang w:eastAsia="fr-FR"/>
        </w:rPr>
        <w:t>, pour une</w:t>
      </w:r>
      <w:r w:rsidRPr="00C356D6">
        <w:rPr>
          <w:rFonts w:ascii="Arial" w:eastAsia="Times New Roman" w:hAnsi="Arial" w:cs="Arial"/>
          <w:color w:val="000000" w:themeColor="text1"/>
          <w:sz w:val="18"/>
          <w:lang w:eastAsia="fr-FR"/>
        </w:rPr>
        <w:t xml:space="preserve"> prestation </w:t>
      </w:r>
      <w:r>
        <w:rPr>
          <w:rFonts w:ascii="Arial" w:eastAsia="Times New Roman" w:hAnsi="Arial" w:cs="Arial"/>
          <w:color w:val="000000" w:themeColor="text1"/>
          <w:sz w:val="18"/>
          <w:lang w:eastAsia="fr-FR"/>
        </w:rPr>
        <w:t>d’infogérance</w:t>
      </w:r>
      <w:r w:rsidRPr="00C356D6">
        <w:rPr>
          <w:rFonts w:ascii="Arial" w:eastAsia="Times New Roman" w:hAnsi="Arial" w:cs="Arial"/>
          <w:color w:val="000000" w:themeColor="text1"/>
          <w:sz w:val="18"/>
          <w:lang w:eastAsia="fr-FR"/>
        </w:rPr>
        <w:t xml:space="preserve"> : </w:t>
      </w:r>
      <w:r>
        <w:rPr>
          <w:rFonts w:ascii="Arial" w:eastAsia="Times New Roman" w:hAnsi="Arial" w:cs="Arial"/>
          <w:color w:val="000000" w:themeColor="text1"/>
          <w:sz w:val="18"/>
          <w:lang w:eastAsia="fr-FR"/>
        </w:rPr>
        <w:t>intervention sur les systèmes d’information, maintenance</w:t>
      </w:r>
      <w:r w:rsidRPr="00C356D6">
        <w:rPr>
          <w:rFonts w:ascii="Arial" w:eastAsia="Times New Roman" w:hAnsi="Arial" w:cs="Arial"/>
          <w:color w:val="000000" w:themeColor="text1"/>
          <w:sz w:val="18"/>
          <w:lang w:eastAsia="fr-FR"/>
        </w:rPr>
        <w:t>…</w:t>
      </w:r>
    </w:p>
  </w:footnote>
  <w:footnote w:id="2">
    <w:p w14:paraId="2B313C48"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 xml:space="preserve">Raison pour laquelle les données sont traitées. Par exemple, </w:t>
      </w:r>
      <w:r>
        <w:rPr>
          <w:rFonts w:ascii="Arial" w:eastAsia="Times New Roman" w:hAnsi="Arial" w:cs="Arial"/>
          <w:color w:val="000000" w:themeColor="text1"/>
          <w:sz w:val="18"/>
          <w:lang w:eastAsia="fr-FR"/>
        </w:rPr>
        <w:t xml:space="preserve">infogérance, </w:t>
      </w:r>
      <w:r w:rsidRPr="00C356D6">
        <w:rPr>
          <w:rFonts w:ascii="Arial" w:eastAsia="Times New Roman" w:hAnsi="Arial" w:cs="Arial"/>
          <w:color w:val="000000" w:themeColor="text1"/>
          <w:sz w:val="18"/>
          <w:lang w:eastAsia="fr-FR"/>
        </w:rPr>
        <w:t>réservation de voyages, gestion des inscriptions à une conférence, organisation et suivi des élections professionnelles …</w:t>
      </w:r>
    </w:p>
  </w:footnote>
  <w:footnote w:id="3">
    <w:p w14:paraId="1AE2552C"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77EA499B"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hAnsi="Arial" w:cs="Arial"/>
          <w:color w:val="000000"/>
          <w:sz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7216AA3B" w14:textId="77777777" w:rsidR="00AE4FAE" w:rsidRPr="00F971DB" w:rsidRDefault="00AE4FAE" w:rsidP="00AE4FAE">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Préciser, par exemple, si les données ne sont accessibles que sur site CEA</w:t>
      </w:r>
      <w:r w:rsidRPr="00F971DB">
        <w:rPr>
          <w:rFonts w:ascii="Arial" w:eastAsia="Times New Roman" w:hAnsi="Arial" w:cs="Arial"/>
          <w:color w:val="000000" w:themeColor="text1"/>
          <w:lang w:eastAsia="fr-FR"/>
        </w:rPr>
        <w:t>.</w:t>
      </w:r>
    </w:p>
    <w:p w14:paraId="6A8D7B10" w14:textId="77777777" w:rsidR="00AE4FAE" w:rsidRPr="008D46D1" w:rsidRDefault="00AE4FAE" w:rsidP="00AE4FAE">
      <w:pPr>
        <w:pStyle w:val="Notedefin"/>
        <w:rPr>
          <w:rFonts w:ascii="Arial" w:hAnsi="Arial" w:cs="Arial"/>
          <w:i/>
          <w:color w:val="000000" w:themeColor="text1"/>
        </w:rPr>
      </w:pPr>
    </w:p>
    <w:p w14:paraId="50B708BA" w14:textId="77777777" w:rsidR="00AE4FAE" w:rsidRDefault="00AE4FAE" w:rsidP="00AE4FAE">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95C4" w14:textId="77777777" w:rsidR="00882BEE" w:rsidRDefault="00FF628B">
    <w:pPr>
      <w:pStyle w:val="En-tte"/>
    </w:pPr>
  </w:p>
  <w:p w14:paraId="3A6A68F4" w14:textId="77777777" w:rsidR="00882BEE" w:rsidRDefault="00FF628B">
    <w:pPr>
      <w:pStyle w:val="En-tte"/>
    </w:pPr>
  </w:p>
  <w:p w14:paraId="1F492FEF" w14:textId="77777777" w:rsidR="00882BEE" w:rsidRDefault="00FF628B">
    <w:pPr>
      <w:pStyle w:val="En-tte"/>
    </w:pPr>
  </w:p>
  <w:p w14:paraId="55C0AEC0" w14:textId="77777777" w:rsidR="00882BEE" w:rsidRDefault="00FF62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26102" w14:textId="77777777" w:rsidR="00882BEE" w:rsidRDefault="00FF628B" w:rsidP="002D035F">
    <w:pPr>
      <w:pStyle w:val="En-tte"/>
    </w:pPr>
  </w:p>
  <w:p w14:paraId="79F04F1C" w14:textId="77777777" w:rsidR="00882BEE" w:rsidRDefault="00FF628B" w:rsidP="002D035F">
    <w:pPr>
      <w:pStyle w:val="En-tte"/>
    </w:pPr>
  </w:p>
  <w:p w14:paraId="1317DDA9" w14:textId="77777777" w:rsidR="00882BEE" w:rsidRDefault="00FF628B" w:rsidP="002D035F">
    <w:pPr>
      <w:pStyle w:val="En-tte"/>
    </w:pPr>
  </w:p>
  <w:p w14:paraId="159F52DF" w14:textId="77777777" w:rsidR="00882BEE" w:rsidRDefault="00FF628B" w:rsidP="002D035F">
    <w:pPr>
      <w:pStyle w:val="En-tte"/>
    </w:pPr>
  </w:p>
  <w:p w14:paraId="1C3AEA83" w14:textId="77777777" w:rsidR="00882BEE" w:rsidRDefault="00FF628B" w:rsidP="002D035F">
    <w:pPr>
      <w:pStyle w:val="En-tte"/>
    </w:pPr>
  </w:p>
  <w:p w14:paraId="1B437198" w14:textId="77777777" w:rsidR="00882BEE" w:rsidRDefault="00FF628B" w:rsidP="002D035F">
    <w:pPr>
      <w:pStyle w:val="En-tte"/>
    </w:pPr>
  </w:p>
  <w:p w14:paraId="05698B12" w14:textId="77777777" w:rsidR="00882BEE" w:rsidRDefault="00FF628B" w:rsidP="002D035F">
    <w:pPr>
      <w:pStyle w:val="En-tte"/>
    </w:pPr>
  </w:p>
  <w:p w14:paraId="3D08E384" w14:textId="77777777" w:rsidR="00882BEE" w:rsidRDefault="00FF628B" w:rsidP="002D035F">
    <w:pPr>
      <w:pStyle w:val="En-tte"/>
    </w:pPr>
  </w:p>
  <w:p w14:paraId="190D1EB7" w14:textId="77777777" w:rsidR="00882BEE" w:rsidRDefault="00FF628B" w:rsidP="002D035F">
    <w:pPr>
      <w:pStyle w:val="En-tte"/>
    </w:pPr>
  </w:p>
  <w:p w14:paraId="27600B34" w14:textId="77777777" w:rsidR="00882BEE" w:rsidRDefault="00FF628B" w:rsidP="00AE4FAE">
    <w:pPr>
      <w:pStyle w:val="En-tte"/>
      <w:ind w:firstLine="708"/>
    </w:pPr>
  </w:p>
  <w:p w14:paraId="2A9A90A0" w14:textId="77777777" w:rsidR="00882BEE" w:rsidRDefault="00FF628B" w:rsidP="002D035F">
    <w:pPr>
      <w:pStyle w:val="En-tte"/>
    </w:pPr>
  </w:p>
  <w:p w14:paraId="06AB0F96" w14:textId="77777777" w:rsidR="00882BEE" w:rsidRDefault="00FF628B" w:rsidP="002D035F">
    <w:pPr>
      <w:pStyle w:val="En-tte"/>
    </w:pPr>
  </w:p>
  <w:p w14:paraId="6B81AF94" w14:textId="77777777" w:rsidR="00882BEE" w:rsidRDefault="00FF628B"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4FC"/>
    <w:multiLevelType w:val="hybridMultilevel"/>
    <w:tmpl w:val="B80C558A"/>
    <w:lvl w:ilvl="0" w:tplc="040C0011">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05A95C47"/>
    <w:multiLevelType w:val="hybridMultilevel"/>
    <w:tmpl w:val="B82AABE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141A6029"/>
    <w:multiLevelType w:val="hybridMultilevel"/>
    <w:tmpl w:val="B1768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A86397"/>
    <w:multiLevelType w:val="multilevel"/>
    <w:tmpl w:val="040C001D"/>
    <w:lvl w:ilvl="0">
      <w:start w:val="1"/>
      <w:numFmt w:val="decimal"/>
      <w:lvlText w:val="%1)"/>
      <w:lvlJc w:val="left"/>
      <w:pPr>
        <w:ind w:left="1068" w:hanging="360"/>
      </w:pPr>
      <w:rPr>
        <w:rFonts w:hint="default"/>
        <w:sz w:val="20"/>
      </w:rPr>
    </w:lvl>
    <w:lvl w:ilvl="1">
      <w:start w:val="1"/>
      <w:numFmt w:val="lowerLetter"/>
      <w:lvlText w:val="%2)"/>
      <w:lvlJc w:val="left"/>
      <w:pPr>
        <w:ind w:left="1428" w:hanging="360"/>
      </w:pPr>
      <w:rPr>
        <w:rFonts w:hint="default"/>
        <w:b/>
      </w:rPr>
    </w:lvl>
    <w:lvl w:ilvl="2">
      <w:start w:val="1"/>
      <w:numFmt w:val="lowerRoman"/>
      <w:lvlText w:val="%3)"/>
      <w:lvlJc w:val="left"/>
      <w:pPr>
        <w:ind w:left="1788" w:hanging="360"/>
      </w:pPr>
      <w:rPr>
        <w:rFonts w:hint="default"/>
        <w:sz w:val="20"/>
      </w:rPr>
    </w:lvl>
    <w:lvl w:ilvl="3">
      <w:start w:val="1"/>
      <w:numFmt w:val="decimal"/>
      <w:lvlText w:val="(%4)"/>
      <w:lvlJc w:val="left"/>
      <w:pPr>
        <w:ind w:left="2148" w:hanging="360"/>
      </w:pPr>
      <w:rPr>
        <w:rFonts w:hint="default"/>
        <w:sz w:val="20"/>
      </w:rPr>
    </w:lvl>
    <w:lvl w:ilvl="4">
      <w:start w:val="1"/>
      <w:numFmt w:val="lowerLetter"/>
      <w:lvlText w:val="(%5)"/>
      <w:lvlJc w:val="left"/>
      <w:pPr>
        <w:ind w:left="2508" w:hanging="360"/>
      </w:pPr>
      <w:rPr>
        <w:rFonts w:hint="default"/>
        <w:sz w:val="20"/>
      </w:rPr>
    </w:lvl>
    <w:lvl w:ilvl="5">
      <w:start w:val="1"/>
      <w:numFmt w:val="lowerRoman"/>
      <w:lvlText w:val="(%6)"/>
      <w:lvlJc w:val="left"/>
      <w:pPr>
        <w:ind w:left="2868" w:hanging="360"/>
      </w:pPr>
      <w:rPr>
        <w:rFonts w:hint="default"/>
        <w:sz w:val="20"/>
      </w:rPr>
    </w:lvl>
    <w:lvl w:ilvl="6">
      <w:start w:val="1"/>
      <w:numFmt w:val="decimal"/>
      <w:lvlText w:val="%7."/>
      <w:lvlJc w:val="left"/>
      <w:pPr>
        <w:ind w:left="3228" w:hanging="360"/>
      </w:pPr>
      <w:rPr>
        <w:rFonts w:hint="default"/>
        <w:sz w:val="20"/>
      </w:rPr>
    </w:lvl>
    <w:lvl w:ilvl="7">
      <w:start w:val="1"/>
      <w:numFmt w:val="lowerLetter"/>
      <w:lvlText w:val="%8."/>
      <w:lvlJc w:val="left"/>
      <w:pPr>
        <w:ind w:left="3588" w:hanging="360"/>
      </w:pPr>
      <w:rPr>
        <w:rFonts w:hint="default"/>
        <w:sz w:val="20"/>
      </w:rPr>
    </w:lvl>
    <w:lvl w:ilvl="8">
      <w:start w:val="1"/>
      <w:numFmt w:val="lowerRoman"/>
      <w:lvlText w:val="%9."/>
      <w:lvlJc w:val="left"/>
      <w:pPr>
        <w:ind w:left="3948" w:hanging="360"/>
      </w:pPr>
      <w:rPr>
        <w:rFonts w:hint="default"/>
        <w:sz w:val="20"/>
      </w:rPr>
    </w:lvl>
  </w:abstractNum>
  <w:abstractNum w:abstractNumId="4" w15:restartNumberingAfterBreak="0">
    <w:nsid w:val="25167E58"/>
    <w:multiLevelType w:val="hybridMultilevel"/>
    <w:tmpl w:val="7696FC88"/>
    <w:lvl w:ilvl="0" w:tplc="C6D46606">
      <w:start w:val="1"/>
      <w:numFmt w:val="lowerLetter"/>
      <w:lvlText w:val="%1)"/>
      <w:lvlJc w:val="left"/>
      <w:pPr>
        <w:ind w:left="370" w:hanging="360"/>
      </w:pPr>
      <w:rPr>
        <w:rFonts w:hint="default"/>
      </w:rPr>
    </w:lvl>
    <w:lvl w:ilvl="1" w:tplc="040C0019" w:tentative="1">
      <w:start w:val="1"/>
      <w:numFmt w:val="lowerLetter"/>
      <w:lvlText w:val="%2."/>
      <w:lvlJc w:val="left"/>
      <w:pPr>
        <w:ind w:left="1090" w:hanging="360"/>
      </w:pPr>
    </w:lvl>
    <w:lvl w:ilvl="2" w:tplc="040C001B" w:tentative="1">
      <w:start w:val="1"/>
      <w:numFmt w:val="lowerRoman"/>
      <w:lvlText w:val="%3."/>
      <w:lvlJc w:val="right"/>
      <w:pPr>
        <w:ind w:left="1810" w:hanging="180"/>
      </w:pPr>
    </w:lvl>
    <w:lvl w:ilvl="3" w:tplc="040C000F" w:tentative="1">
      <w:start w:val="1"/>
      <w:numFmt w:val="decimal"/>
      <w:lvlText w:val="%4."/>
      <w:lvlJc w:val="left"/>
      <w:pPr>
        <w:ind w:left="2530" w:hanging="360"/>
      </w:pPr>
    </w:lvl>
    <w:lvl w:ilvl="4" w:tplc="040C0019" w:tentative="1">
      <w:start w:val="1"/>
      <w:numFmt w:val="lowerLetter"/>
      <w:lvlText w:val="%5."/>
      <w:lvlJc w:val="left"/>
      <w:pPr>
        <w:ind w:left="3250" w:hanging="360"/>
      </w:pPr>
    </w:lvl>
    <w:lvl w:ilvl="5" w:tplc="040C001B" w:tentative="1">
      <w:start w:val="1"/>
      <w:numFmt w:val="lowerRoman"/>
      <w:lvlText w:val="%6."/>
      <w:lvlJc w:val="right"/>
      <w:pPr>
        <w:ind w:left="3970" w:hanging="180"/>
      </w:pPr>
    </w:lvl>
    <w:lvl w:ilvl="6" w:tplc="040C000F" w:tentative="1">
      <w:start w:val="1"/>
      <w:numFmt w:val="decimal"/>
      <w:lvlText w:val="%7."/>
      <w:lvlJc w:val="left"/>
      <w:pPr>
        <w:ind w:left="4690" w:hanging="360"/>
      </w:pPr>
    </w:lvl>
    <w:lvl w:ilvl="7" w:tplc="040C0019" w:tentative="1">
      <w:start w:val="1"/>
      <w:numFmt w:val="lowerLetter"/>
      <w:lvlText w:val="%8."/>
      <w:lvlJc w:val="left"/>
      <w:pPr>
        <w:ind w:left="5410" w:hanging="360"/>
      </w:pPr>
    </w:lvl>
    <w:lvl w:ilvl="8" w:tplc="040C001B" w:tentative="1">
      <w:start w:val="1"/>
      <w:numFmt w:val="lowerRoman"/>
      <w:lvlText w:val="%9."/>
      <w:lvlJc w:val="right"/>
      <w:pPr>
        <w:ind w:left="6130" w:hanging="180"/>
      </w:pPr>
    </w:lvl>
  </w:abstractNum>
  <w:abstractNum w:abstractNumId="5" w15:restartNumberingAfterBreak="0">
    <w:nsid w:val="2E861544"/>
    <w:multiLevelType w:val="multilevel"/>
    <w:tmpl w:val="20E8C6E4"/>
    <w:lvl w:ilvl="0">
      <w:start w:val="5"/>
      <w:numFmt w:val="decimal"/>
      <w:lvlText w:val="%1."/>
      <w:lvlJc w:val="left"/>
      <w:pPr>
        <w:tabs>
          <w:tab w:val="num" w:pos="644"/>
        </w:tabs>
        <w:ind w:left="644"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D7D0F"/>
    <w:multiLevelType w:val="multilevel"/>
    <w:tmpl w:val="73DAD57A"/>
    <w:lvl w:ilvl="0">
      <w:start w:val="1"/>
      <w:numFmt w:val="decimal"/>
      <w:lvlText w:val="%1."/>
      <w:lvlJc w:val="left"/>
      <w:pPr>
        <w:tabs>
          <w:tab w:val="num" w:pos="720"/>
        </w:tabs>
        <w:ind w:left="720" w:hanging="360"/>
      </w:pPr>
    </w:lvl>
    <w:lvl w:ilvl="1">
      <w:start w:val="10"/>
      <w:numFmt w:val="decimal"/>
      <w:lvlText w:val="%2."/>
      <w:lvlJc w:val="left"/>
      <w:pPr>
        <w:ind w:left="785"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BA7BF2"/>
    <w:multiLevelType w:val="hybridMultilevel"/>
    <w:tmpl w:val="86F4D51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AC66CAD"/>
    <w:multiLevelType w:val="hybridMultilevel"/>
    <w:tmpl w:val="CCCA080E"/>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9" w15:restartNumberingAfterBreak="0">
    <w:nsid w:val="48A11966"/>
    <w:multiLevelType w:val="hybridMultilevel"/>
    <w:tmpl w:val="1BA4CB1C"/>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C3C3283"/>
    <w:multiLevelType w:val="hybridMultilevel"/>
    <w:tmpl w:val="0C2088F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5E2E6707"/>
    <w:multiLevelType w:val="hybridMultilevel"/>
    <w:tmpl w:val="6F069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2D5723"/>
    <w:multiLevelType w:val="hybridMultilevel"/>
    <w:tmpl w:val="43E6461A"/>
    <w:lvl w:ilvl="0" w:tplc="B3F2FD62">
      <w:start w:val="1"/>
      <w:numFmt w:val="bullet"/>
      <w:lvlText w:val="•"/>
      <w:lvlJc w:val="left"/>
      <w:pPr>
        <w:ind w:left="36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1" w:tplc="489048E0">
      <w:start w:val="1"/>
      <w:numFmt w:val="bullet"/>
      <w:lvlText w:val="o"/>
      <w:lvlJc w:val="left"/>
      <w:pPr>
        <w:ind w:left="144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2" w:tplc="4356C780">
      <w:start w:val="1"/>
      <w:numFmt w:val="bullet"/>
      <w:lvlText w:val="▪"/>
      <w:lvlJc w:val="left"/>
      <w:pPr>
        <w:ind w:left="216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3" w:tplc="1E563298">
      <w:start w:val="1"/>
      <w:numFmt w:val="bullet"/>
      <w:lvlText w:val="•"/>
      <w:lvlJc w:val="left"/>
      <w:pPr>
        <w:ind w:left="288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4" w:tplc="539CEAD2">
      <w:start w:val="1"/>
      <w:numFmt w:val="bullet"/>
      <w:lvlText w:val="o"/>
      <w:lvlJc w:val="left"/>
      <w:pPr>
        <w:ind w:left="360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5" w:tplc="017A2448">
      <w:start w:val="1"/>
      <w:numFmt w:val="bullet"/>
      <w:lvlText w:val="▪"/>
      <w:lvlJc w:val="left"/>
      <w:pPr>
        <w:ind w:left="432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6" w:tplc="4D4A7B7E">
      <w:start w:val="1"/>
      <w:numFmt w:val="bullet"/>
      <w:lvlText w:val="•"/>
      <w:lvlJc w:val="left"/>
      <w:pPr>
        <w:ind w:left="504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7" w:tplc="2B9ED45C">
      <w:start w:val="1"/>
      <w:numFmt w:val="bullet"/>
      <w:lvlText w:val="o"/>
      <w:lvlJc w:val="left"/>
      <w:pPr>
        <w:ind w:left="576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8" w:tplc="76866F80">
      <w:start w:val="1"/>
      <w:numFmt w:val="bullet"/>
      <w:lvlText w:val="▪"/>
      <w:lvlJc w:val="left"/>
      <w:pPr>
        <w:ind w:left="648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abstractNum>
  <w:num w:numId="1">
    <w:abstractNumId w:val="6"/>
  </w:num>
  <w:num w:numId="2">
    <w:abstractNumId w:val="3"/>
  </w:num>
  <w:num w:numId="3">
    <w:abstractNumId w:val="5"/>
  </w:num>
  <w:num w:numId="4">
    <w:abstractNumId w:val="12"/>
  </w:num>
  <w:num w:numId="5">
    <w:abstractNumId w:val="11"/>
  </w:num>
  <w:num w:numId="6">
    <w:abstractNumId w:val="13"/>
  </w:num>
  <w:num w:numId="7">
    <w:abstractNumId w:val="4"/>
  </w:num>
  <w:num w:numId="8">
    <w:abstractNumId w:val="1"/>
  </w:num>
  <w:num w:numId="9">
    <w:abstractNumId w:val="9"/>
  </w:num>
  <w:num w:numId="10">
    <w:abstractNumId w:val="0"/>
  </w:num>
  <w:num w:numId="11">
    <w:abstractNumId w:val="8"/>
  </w:num>
  <w:num w:numId="12">
    <w:abstractNumId w:val="7"/>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FAE"/>
    <w:rsid w:val="00101B6A"/>
    <w:rsid w:val="002170C8"/>
    <w:rsid w:val="002305C5"/>
    <w:rsid w:val="003B0BAC"/>
    <w:rsid w:val="004E0675"/>
    <w:rsid w:val="005951FA"/>
    <w:rsid w:val="00694C43"/>
    <w:rsid w:val="00714589"/>
    <w:rsid w:val="00795567"/>
    <w:rsid w:val="007A2558"/>
    <w:rsid w:val="00803C1E"/>
    <w:rsid w:val="00822FC0"/>
    <w:rsid w:val="00A928A0"/>
    <w:rsid w:val="00AE4FAE"/>
    <w:rsid w:val="00C50CEB"/>
    <w:rsid w:val="00D318FD"/>
    <w:rsid w:val="00EE4D48"/>
    <w:rsid w:val="00FF62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4636C"/>
  <w15:chartTrackingRefBased/>
  <w15:docId w15:val="{6A969439-EE05-4D04-83B2-AAA1521E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FAE"/>
    <w:pPr>
      <w:spacing w:after="0" w:line="300" w:lineRule="atLeast"/>
      <w:jc w:val="both"/>
    </w:pPr>
    <w:rPr>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AE4FAE"/>
    <w:pPr>
      <w:spacing w:after="0" w:line="240" w:lineRule="exact"/>
    </w:pPr>
    <w:rPr>
      <w:sz w:val="24"/>
    </w:rPr>
  </w:style>
  <w:style w:type="character" w:customStyle="1" w:styleId="En-tteCar">
    <w:name w:val="En-tête Car"/>
    <w:basedOn w:val="Policepardfaut"/>
    <w:link w:val="En-tte"/>
    <w:uiPriority w:val="99"/>
    <w:rsid w:val="00AE4FAE"/>
    <w:rPr>
      <w:sz w:val="24"/>
    </w:rPr>
  </w:style>
  <w:style w:type="paragraph" w:styleId="Pieddepage">
    <w:name w:val="footer"/>
    <w:link w:val="PieddepageCar"/>
    <w:uiPriority w:val="99"/>
    <w:rsid w:val="00AE4FAE"/>
    <w:pPr>
      <w:spacing w:after="0" w:line="240" w:lineRule="exact"/>
    </w:pPr>
    <w:rPr>
      <w:sz w:val="24"/>
    </w:rPr>
  </w:style>
  <w:style w:type="character" w:customStyle="1" w:styleId="PieddepageCar">
    <w:name w:val="Pied de page Car"/>
    <w:basedOn w:val="Policepardfaut"/>
    <w:link w:val="Pieddepage"/>
    <w:uiPriority w:val="99"/>
    <w:rsid w:val="00AE4FAE"/>
    <w:rPr>
      <w:sz w:val="24"/>
    </w:rPr>
  </w:style>
  <w:style w:type="table" w:styleId="Grilledutableau">
    <w:name w:val="Table Grid"/>
    <w:basedOn w:val="TableauNormal"/>
    <w:uiPriority w:val="39"/>
    <w:rsid w:val="00AE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E4FA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ienhypertexte">
    <w:name w:val="Hyperlink"/>
    <w:basedOn w:val="Policepardfaut"/>
    <w:unhideWhenUsed/>
    <w:rsid w:val="00AE4FAE"/>
    <w:rPr>
      <w:color w:val="0000FF"/>
      <w:u w:val="single"/>
    </w:rPr>
  </w:style>
  <w:style w:type="paragraph" w:styleId="Paragraphedeliste">
    <w:name w:val="List Paragraph"/>
    <w:basedOn w:val="Normal"/>
    <w:uiPriority w:val="34"/>
    <w:qFormat/>
    <w:rsid w:val="00AE4FAE"/>
    <w:pPr>
      <w:ind w:left="720"/>
      <w:contextualSpacing/>
    </w:pPr>
  </w:style>
  <w:style w:type="paragraph" w:styleId="Notedebasdepage">
    <w:name w:val="footnote text"/>
    <w:basedOn w:val="Normal"/>
    <w:link w:val="NotedebasdepageCar"/>
    <w:semiHidden/>
    <w:rsid w:val="00AE4FAE"/>
    <w:pPr>
      <w:spacing w:line="240" w:lineRule="auto"/>
      <w:jc w:val="left"/>
    </w:pPr>
    <w:rPr>
      <w:rFonts w:ascii="Arial" w:eastAsia="Times New Roman" w:hAnsi="Arial" w:cs="Times New Roman"/>
      <w:szCs w:val="20"/>
      <w:lang w:eastAsia="fr-FR"/>
    </w:rPr>
  </w:style>
  <w:style w:type="character" w:customStyle="1" w:styleId="NotedebasdepageCar">
    <w:name w:val="Note de bas de page Car"/>
    <w:basedOn w:val="Policepardfaut"/>
    <w:link w:val="Notedebasdepage"/>
    <w:semiHidden/>
    <w:rsid w:val="00AE4FAE"/>
    <w:rPr>
      <w:rFonts w:ascii="Arial" w:eastAsia="Times New Roman" w:hAnsi="Arial" w:cs="Times New Roman"/>
      <w:sz w:val="20"/>
      <w:szCs w:val="20"/>
      <w:lang w:eastAsia="fr-FR"/>
    </w:rPr>
  </w:style>
  <w:style w:type="character" w:styleId="Appelnotedebasdep">
    <w:name w:val="footnote reference"/>
    <w:basedOn w:val="Policepardfaut"/>
    <w:semiHidden/>
    <w:rsid w:val="00AE4FAE"/>
    <w:rPr>
      <w:vertAlign w:val="superscript"/>
    </w:rPr>
  </w:style>
  <w:style w:type="paragraph" w:styleId="Commentaire">
    <w:name w:val="annotation text"/>
    <w:basedOn w:val="Normal"/>
    <w:link w:val="CommentaireCar"/>
    <w:uiPriority w:val="99"/>
    <w:unhideWhenUsed/>
    <w:rsid w:val="00AE4FAE"/>
    <w:pPr>
      <w:spacing w:line="240" w:lineRule="auto"/>
    </w:pPr>
    <w:rPr>
      <w:szCs w:val="20"/>
    </w:rPr>
  </w:style>
  <w:style w:type="character" w:customStyle="1" w:styleId="CommentaireCar">
    <w:name w:val="Commentaire Car"/>
    <w:basedOn w:val="Policepardfaut"/>
    <w:link w:val="Commentaire"/>
    <w:uiPriority w:val="99"/>
    <w:rsid w:val="00AE4FAE"/>
    <w:rPr>
      <w:sz w:val="20"/>
      <w:szCs w:val="20"/>
    </w:rPr>
  </w:style>
  <w:style w:type="paragraph" w:styleId="Notedefin">
    <w:name w:val="endnote text"/>
    <w:basedOn w:val="Normal"/>
    <w:link w:val="NotedefinCar"/>
    <w:uiPriority w:val="99"/>
    <w:unhideWhenUsed/>
    <w:rsid w:val="00AE4FAE"/>
    <w:pPr>
      <w:spacing w:line="240" w:lineRule="auto"/>
      <w:jc w:val="left"/>
    </w:pPr>
    <w:rPr>
      <w:szCs w:val="20"/>
    </w:rPr>
  </w:style>
  <w:style w:type="character" w:customStyle="1" w:styleId="NotedefinCar">
    <w:name w:val="Note de fin Car"/>
    <w:basedOn w:val="Policepardfaut"/>
    <w:link w:val="Notedefin"/>
    <w:uiPriority w:val="99"/>
    <w:rsid w:val="00AE4FA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30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2467</Words>
  <Characters>13571</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MERCIER Frédéric 128636</cp:lastModifiedBy>
  <cp:revision>2</cp:revision>
  <dcterms:created xsi:type="dcterms:W3CDTF">2025-05-13T10:11:00Z</dcterms:created>
  <dcterms:modified xsi:type="dcterms:W3CDTF">2025-05-13T10:11:00Z</dcterms:modified>
</cp:coreProperties>
</file>